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2C6" w:rsidRDefault="00E132C6" w:rsidP="00E132C6">
      <w:pPr>
        <w:rPr>
          <w:b/>
          <w:bCs/>
          <w:lang w:val="de-DE"/>
        </w:rPr>
      </w:pPr>
      <w:r w:rsidRPr="00A73284">
        <w:rPr>
          <w:b/>
          <w:bCs/>
          <w:lang w:val="de-DE"/>
        </w:rPr>
        <w:t>Tabelle 2: Einfluss von KI auf die Schaffung von Arbeitsplätzen bis 2025 nach Meinung deutscher Personal</w:t>
      </w:r>
      <w:r>
        <w:rPr>
          <w:b/>
          <w:bCs/>
          <w:lang w:val="de-DE"/>
        </w:rPr>
        <w:t>fachleute und ihrer europäischen HR-</w:t>
      </w:r>
      <w:r w:rsidRPr="00A73284">
        <w:rPr>
          <w:b/>
          <w:bCs/>
          <w:lang w:val="de-DE"/>
        </w:rPr>
        <w:t>Kolle</w:t>
      </w:r>
      <w:r>
        <w:rPr>
          <w:b/>
          <w:bCs/>
          <w:lang w:val="de-DE"/>
        </w:rPr>
        <w:t>gen</w:t>
      </w:r>
    </w:p>
    <w:p w:rsidR="00E132C6" w:rsidRDefault="00E132C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0"/>
        <w:gridCol w:w="1681"/>
        <w:gridCol w:w="1681"/>
        <w:gridCol w:w="1681"/>
        <w:gridCol w:w="1680"/>
      </w:tblGrid>
      <w:tr w:rsidR="00E132C6" w:rsidRPr="00A73284" w:rsidTr="00AC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Merge w:val="restart"/>
            <w:tcBorders>
              <w:right w:val="single" w:sz="4" w:space="0" w:color="auto"/>
            </w:tcBorders>
            <w:hideMark/>
          </w:tcPr>
          <w:p w:rsidR="00E132C6" w:rsidRPr="00A73284" w:rsidRDefault="00E132C6" w:rsidP="00AC29FA">
            <w:pPr>
              <w:spacing w:before="0" w:after="0" w:line="240" w:lineRule="auto"/>
              <w:rPr>
                <w:color w:val="auto"/>
                <w:sz w:val="20"/>
                <w:szCs w:val="20"/>
                <w:lang w:val="de-DE"/>
              </w:rPr>
            </w:pPr>
            <w:bookmarkStart w:id="0" w:name="_Hlk500770679"/>
          </w:p>
        </w:tc>
        <w:tc>
          <w:tcPr>
            <w:tcW w:w="33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32C6" w:rsidRPr="00A73284" w:rsidRDefault="00E132C6" w:rsidP="00AC29FA">
            <w:pPr>
              <w:pStyle w:val="SDWorx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20"/>
                <w:szCs w:val="20"/>
                <w:lang w:val="de-DE"/>
              </w:rPr>
            </w:pPr>
            <w:r w:rsidRPr="00A73284">
              <w:rPr>
                <w:color w:val="4F81BD" w:themeColor="accent1"/>
                <w:sz w:val="20"/>
                <w:szCs w:val="20"/>
                <w:lang w:val="de-DE"/>
              </w:rPr>
              <w:t>DEUTSCHLAND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C2855"/>
              <w:right w:val="single" w:sz="4" w:space="0" w:color="auto"/>
            </w:tcBorders>
            <w:hideMark/>
          </w:tcPr>
          <w:p w:rsidR="00E132C6" w:rsidRPr="00A73284" w:rsidRDefault="00E132C6" w:rsidP="00AC29FA">
            <w:pPr>
              <w:pStyle w:val="SDWorx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20"/>
                <w:szCs w:val="20"/>
                <w:lang w:val="de-DE"/>
              </w:rPr>
            </w:pPr>
            <w:r w:rsidRPr="00A73284">
              <w:rPr>
                <w:color w:val="4F81BD" w:themeColor="accent1"/>
                <w:sz w:val="20"/>
                <w:szCs w:val="20"/>
                <w:lang w:val="de-DE"/>
              </w:rPr>
              <w:t>EUROPA</w:t>
            </w:r>
          </w:p>
        </w:tc>
      </w:tr>
      <w:tr w:rsidR="00E132C6" w:rsidRPr="003675D4" w:rsidTr="00AC29FA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Merge/>
            <w:tcBorders>
              <w:bottom w:val="single" w:sz="2" w:space="0" w:color="7C2855"/>
              <w:right w:val="single" w:sz="4" w:space="0" w:color="auto"/>
            </w:tcBorders>
          </w:tcPr>
          <w:p w:rsidR="00E132C6" w:rsidRPr="00A73284" w:rsidRDefault="00E132C6" w:rsidP="00AC29FA">
            <w:pPr>
              <w:spacing w:after="0" w:line="240" w:lineRule="auto"/>
              <w:rPr>
                <w:szCs w:val="20"/>
                <w:lang w:val="de-DE"/>
              </w:rPr>
            </w:pPr>
          </w:p>
        </w:tc>
        <w:tc>
          <w:tcPr>
            <w:tcW w:w="1681" w:type="dxa"/>
            <w:tcBorders>
              <w:top w:val="nil"/>
              <w:bottom w:val="single" w:sz="2" w:space="0" w:color="7C2855"/>
            </w:tcBorders>
          </w:tcPr>
          <w:p w:rsidR="00E132C6" w:rsidRPr="00A73284" w:rsidRDefault="00E132C6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Cs w:val="20"/>
                <w:lang w:val="de-DE"/>
              </w:rPr>
            </w:pPr>
            <w:r w:rsidRPr="00A73284">
              <w:rPr>
                <w:b/>
                <w:bCs/>
                <w:color w:val="4F81BD" w:themeColor="accent1"/>
                <w:szCs w:val="20"/>
                <w:lang w:val="de-DE"/>
              </w:rPr>
              <w:t>KI führt bis 2025 zu einer Zunahme von Arbeitsplätzen</w:t>
            </w:r>
          </w:p>
        </w:tc>
        <w:tc>
          <w:tcPr>
            <w:tcW w:w="1681" w:type="dxa"/>
            <w:tcBorders>
              <w:bottom w:val="single" w:sz="2" w:space="0" w:color="7C2855"/>
              <w:right w:val="single" w:sz="4" w:space="0" w:color="auto"/>
            </w:tcBorders>
          </w:tcPr>
          <w:p w:rsidR="00E132C6" w:rsidRPr="00A73284" w:rsidRDefault="00E132C6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Cs w:val="20"/>
                <w:lang w:val="de-DE"/>
              </w:rPr>
            </w:pPr>
            <w:r w:rsidRPr="00A73284">
              <w:rPr>
                <w:b/>
                <w:bCs/>
                <w:color w:val="4F81BD" w:themeColor="accent1"/>
                <w:szCs w:val="20"/>
                <w:lang w:val="de-DE"/>
              </w:rPr>
              <w:t>KI führt bis 2025 zu einem Verlust von Arbeitsplätzen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auto"/>
              <w:bottom w:val="single" w:sz="4" w:space="0" w:color="7C2855"/>
              <w:right w:val="single" w:sz="4" w:space="0" w:color="7C2855"/>
            </w:tcBorders>
          </w:tcPr>
          <w:p w:rsidR="00E132C6" w:rsidRPr="00A73284" w:rsidRDefault="00E132C6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F81BD" w:themeColor="accent1"/>
                <w:szCs w:val="20"/>
                <w:lang w:val="de-DE"/>
              </w:rPr>
            </w:pPr>
            <w:r w:rsidRPr="00A73284">
              <w:rPr>
                <w:b/>
                <w:bCs/>
                <w:color w:val="4F81BD" w:themeColor="accent1"/>
                <w:szCs w:val="20"/>
                <w:lang w:val="de-DE"/>
              </w:rPr>
              <w:t>KI führt bis 2025 zu einer Zunahme von Arbeitsplätzen</w:t>
            </w:r>
          </w:p>
        </w:tc>
        <w:tc>
          <w:tcPr>
            <w:tcW w:w="1680" w:type="dxa"/>
            <w:tcBorders>
              <w:top w:val="single" w:sz="4" w:space="0" w:color="7C2855"/>
              <w:left w:val="single" w:sz="4" w:space="0" w:color="7C2855"/>
              <w:bottom w:val="single" w:sz="4" w:space="0" w:color="7C2855"/>
              <w:right w:val="single" w:sz="4" w:space="0" w:color="auto"/>
            </w:tcBorders>
          </w:tcPr>
          <w:p w:rsidR="00E132C6" w:rsidRPr="00A73284" w:rsidRDefault="00E132C6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F81BD" w:themeColor="accent1"/>
                <w:szCs w:val="20"/>
                <w:lang w:val="de-DE"/>
              </w:rPr>
            </w:pPr>
            <w:r w:rsidRPr="00A73284">
              <w:rPr>
                <w:b/>
                <w:bCs/>
                <w:color w:val="4F81BD" w:themeColor="accent1"/>
                <w:szCs w:val="20"/>
                <w:lang w:val="de-DE"/>
              </w:rPr>
              <w:t>KI führt bis 2025 zu einem Verlust von Arbeitsplätzen</w:t>
            </w:r>
          </w:p>
        </w:tc>
      </w:tr>
      <w:tr w:rsidR="00E132C6" w:rsidRPr="00A73284" w:rsidTr="00AC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single" w:sz="4" w:space="0" w:color="7C2855"/>
              <w:left w:val="nil"/>
              <w:bottom w:val="single" w:sz="4" w:space="0" w:color="7C2855"/>
              <w:right w:val="single" w:sz="4" w:space="0" w:color="auto"/>
            </w:tcBorders>
            <w:hideMark/>
          </w:tcPr>
          <w:p w:rsidR="00E132C6" w:rsidRPr="00A73284" w:rsidRDefault="00E132C6" w:rsidP="00AC29FA">
            <w:pPr>
              <w:pStyle w:val="SDWorxbodytext"/>
              <w:jc w:val="right"/>
              <w:rPr>
                <w:b/>
                <w:bCs/>
                <w:color w:val="4F81BD" w:themeColor="accent1"/>
                <w:szCs w:val="20"/>
                <w:lang w:val="de-DE"/>
              </w:rPr>
            </w:pPr>
            <w:r w:rsidRPr="00A73284">
              <w:rPr>
                <w:b/>
                <w:bCs/>
                <w:color w:val="4F81BD" w:themeColor="accent1"/>
                <w:szCs w:val="20"/>
                <w:lang w:val="de-DE"/>
              </w:rPr>
              <w:t>Wird keinen Einfluss haben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auto"/>
              <w:bottom w:val="single" w:sz="4" w:space="0" w:color="7C2855"/>
              <w:right w:val="single" w:sz="4" w:space="0" w:color="auto"/>
            </w:tcBorders>
          </w:tcPr>
          <w:p w:rsidR="00E132C6" w:rsidRPr="00A73284" w:rsidRDefault="00E132C6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41,8 %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auto"/>
              <w:bottom w:val="single" w:sz="4" w:space="0" w:color="7C2855"/>
              <w:right w:val="single" w:sz="4" w:space="0" w:color="auto"/>
            </w:tcBorders>
          </w:tcPr>
          <w:p w:rsidR="00E132C6" w:rsidRPr="00A73284" w:rsidRDefault="00E132C6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28,0 %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7C2855"/>
              <w:bottom w:val="single" w:sz="4" w:space="0" w:color="7C2855"/>
              <w:right w:val="single" w:sz="4" w:space="0" w:color="auto"/>
            </w:tcBorders>
            <w:hideMark/>
          </w:tcPr>
          <w:p w:rsidR="00E132C6" w:rsidRPr="00A73284" w:rsidRDefault="00E132C6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41,2 %</w:t>
            </w:r>
          </w:p>
        </w:tc>
        <w:tc>
          <w:tcPr>
            <w:tcW w:w="1680" w:type="dxa"/>
            <w:tcBorders>
              <w:top w:val="single" w:sz="4" w:space="0" w:color="7C2855"/>
              <w:left w:val="single" w:sz="4" w:space="0" w:color="7C2855"/>
              <w:bottom w:val="single" w:sz="4" w:space="0" w:color="7C2855"/>
              <w:right w:val="single" w:sz="4" w:space="0" w:color="auto"/>
            </w:tcBorders>
          </w:tcPr>
          <w:p w:rsidR="00E132C6" w:rsidRPr="00A73284" w:rsidRDefault="00E132C6" w:rsidP="00AC29FA">
            <w:pPr>
              <w:pStyle w:val="SDWorx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23,3 %</w:t>
            </w:r>
          </w:p>
        </w:tc>
      </w:tr>
      <w:tr w:rsidR="00E132C6" w:rsidRPr="00A73284" w:rsidTr="00AC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single" w:sz="4" w:space="0" w:color="7C2855"/>
              <w:left w:val="nil"/>
              <w:bottom w:val="single" w:sz="4" w:space="0" w:color="7C2855"/>
              <w:right w:val="single" w:sz="4" w:space="0" w:color="auto"/>
            </w:tcBorders>
            <w:hideMark/>
          </w:tcPr>
          <w:p w:rsidR="00E132C6" w:rsidRPr="00A73284" w:rsidRDefault="00E132C6" w:rsidP="00AC29FA">
            <w:pPr>
              <w:pStyle w:val="SDWorxbodytext"/>
              <w:jc w:val="right"/>
              <w:rPr>
                <w:b/>
                <w:bCs/>
                <w:color w:val="4F81BD" w:themeColor="accent1"/>
                <w:szCs w:val="20"/>
                <w:lang w:val="de-DE"/>
              </w:rPr>
            </w:pPr>
            <w:r w:rsidRPr="00A73284">
              <w:rPr>
                <w:b/>
                <w:bCs/>
                <w:color w:val="4F81BD" w:themeColor="accent1"/>
                <w:szCs w:val="20"/>
                <w:lang w:val="de-DE"/>
              </w:rPr>
              <w:t>Neutraler Einfluss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auto"/>
              <w:bottom w:val="single" w:sz="4" w:space="0" w:color="7C2855"/>
              <w:right w:val="single" w:sz="4" w:space="0" w:color="auto"/>
            </w:tcBorders>
          </w:tcPr>
          <w:p w:rsidR="00E132C6" w:rsidRPr="00A73284" w:rsidRDefault="00E132C6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16,3 %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auto"/>
              <w:bottom w:val="single" w:sz="4" w:space="0" w:color="7C2855"/>
              <w:right w:val="single" w:sz="4" w:space="0" w:color="auto"/>
            </w:tcBorders>
          </w:tcPr>
          <w:p w:rsidR="00E132C6" w:rsidRPr="00A73284" w:rsidRDefault="00E132C6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17,3 %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7C2855"/>
              <w:bottom w:val="single" w:sz="4" w:space="0" w:color="7C2855"/>
              <w:right w:val="single" w:sz="4" w:space="0" w:color="auto"/>
            </w:tcBorders>
            <w:hideMark/>
          </w:tcPr>
          <w:p w:rsidR="00E132C6" w:rsidRPr="00A73284" w:rsidRDefault="00E132C6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15,2 %</w:t>
            </w:r>
          </w:p>
        </w:tc>
        <w:tc>
          <w:tcPr>
            <w:tcW w:w="1680" w:type="dxa"/>
            <w:tcBorders>
              <w:top w:val="single" w:sz="4" w:space="0" w:color="7C2855"/>
              <w:left w:val="single" w:sz="4" w:space="0" w:color="7C2855"/>
              <w:bottom w:val="single" w:sz="4" w:space="0" w:color="7C2855"/>
              <w:right w:val="single" w:sz="4" w:space="0" w:color="auto"/>
            </w:tcBorders>
          </w:tcPr>
          <w:p w:rsidR="00E132C6" w:rsidRPr="00A73284" w:rsidRDefault="00E132C6" w:rsidP="00AC29FA">
            <w:pPr>
              <w:pStyle w:val="SDWorx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16,9 %</w:t>
            </w:r>
          </w:p>
        </w:tc>
      </w:tr>
      <w:tr w:rsidR="00E132C6" w:rsidRPr="00A73284" w:rsidTr="00AC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single" w:sz="4" w:space="0" w:color="7C2855"/>
              <w:left w:val="nil"/>
              <w:bottom w:val="single" w:sz="4" w:space="0" w:color="7C2855"/>
              <w:right w:val="single" w:sz="4" w:space="0" w:color="auto"/>
            </w:tcBorders>
            <w:hideMark/>
          </w:tcPr>
          <w:p w:rsidR="00E132C6" w:rsidRPr="00A73284" w:rsidRDefault="00E132C6" w:rsidP="00AC29FA">
            <w:pPr>
              <w:pStyle w:val="SDWorxbodytext"/>
              <w:jc w:val="right"/>
              <w:rPr>
                <w:b/>
                <w:bCs/>
                <w:color w:val="4F81BD" w:themeColor="accent1"/>
                <w:szCs w:val="20"/>
                <w:lang w:val="de-DE"/>
              </w:rPr>
            </w:pPr>
            <w:r w:rsidRPr="00A73284">
              <w:rPr>
                <w:b/>
                <w:bCs/>
                <w:color w:val="4F81BD" w:themeColor="accent1"/>
                <w:szCs w:val="20"/>
                <w:lang w:val="de-DE"/>
              </w:rPr>
              <w:t>Wird einen Einfluss haben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auto"/>
              <w:bottom w:val="single" w:sz="4" w:space="0" w:color="7C2855"/>
              <w:right w:val="single" w:sz="4" w:space="0" w:color="auto"/>
            </w:tcBorders>
          </w:tcPr>
          <w:p w:rsidR="00E132C6" w:rsidRPr="00A73284" w:rsidRDefault="00E132C6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40,2 %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auto"/>
              <w:bottom w:val="single" w:sz="4" w:space="0" w:color="7C2855"/>
              <w:right w:val="single" w:sz="4" w:space="0" w:color="auto"/>
            </w:tcBorders>
          </w:tcPr>
          <w:p w:rsidR="00E132C6" w:rsidRPr="00A73284" w:rsidRDefault="00E132C6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53,7 %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7C2855"/>
              <w:bottom w:val="single" w:sz="4" w:space="0" w:color="7C2855"/>
              <w:right w:val="single" w:sz="4" w:space="0" w:color="auto"/>
            </w:tcBorders>
            <w:hideMark/>
          </w:tcPr>
          <w:p w:rsidR="00E132C6" w:rsidRPr="00A73284" w:rsidRDefault="00E132C6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40,5 %</w:t>
            </w:r>
          </w:p>
        </w:tc>
        <w:tc>
          <w:tcPr>
            <w:tcW w:w="1680" w:type="dxa"/>
            <w:tcBorders>
              <w:top w:val="single" w:sz="4" w:space="0" w:color="7C2855"/>
              <w:left w:val="single" w:sz="4" w:space="0" w:color="7C2855"/>
              <w:bottom w:val="single" w:sz="4" w:space="0" w:color="7C2855"/>
              <w:right w:val="single" w:sz="4" w:space="0" w:color="auto"/>
            </w:tcBorders>
          </w:tcPr>
          <w:p w:rsidR="00E132C6" w:rsidRPr="00A73284" w:rsidRDefault="00E132C6" w:rsidP="00AC29FA">
            <w:pPr>
              <w:pStyle w:val="SDWorx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56,6 %</w:t>
            </w:r>
          </w:p>
        </w:tc>
      </w:tr>
      <w:tr w:rsidR="00E132C6" w:rsidRPr="00A73284" w:rsidTr="00AC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single" w:sz="4" w:space="0" w:color="7C2855"/>
              <w:left w:val="nil"/>
              <w:bottom w:val="nil"/>
              <w:right w:val="single" w:sz="4" w:space="0" w:color="auto"/>
            </w:tcBorders>
            <w:hideMark/>
          </w:tcPr>
          <w:p w:rsidR="00E132C6" w:rsidRPr="00A73284" w:rsidRDefault="00E132C6" w:rsidP="00AC29FA">
            <w:pPr>
              <w:pStyle w:val="SDWorxbodytext"/>
              <w:jc w:val="right"/>
              <w:rPr>
                <w:b/>
                <w:bCs/>
                <w:color w:val="4F81BD" w:themeColor="accent1"/>
                <w:szCs w:val="20"/>
                <w:lang w:val="de-DE"/>
              </w:rPr>
            </w:pPr>
            <w:r w:rsidRPr="00A73284">
              <w:rPr>
                <w:b/>
                <w:bCs/>
                <w:color w:val="4F81BD" w:themeColor="accent1"/>
                <w:szCs w:val="20"/>
                <w:lang w:val="de-DE"/>
              </w:rPr>
              <w:t>Keine Meinung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6" w:rsidRPr="00A73284" w:rsidRDefault="00E132C6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1,7 %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6" w:rsidRPr="00A73284" w:rsidRDefault="00E132C6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1,0 %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7C2855"/>
              <w:bottom w:val="single" w:sz="4" w:space="0" w:color="auto"/>
              <w:right w:val="single" w:sz="4" w:space="0" w:color="auto"/>
            </w:tcBorders>
            <w:hideMark/>
          </w:tcPr>
          <w:p w:rsidR="00E132C6" w:rsidRPr="00A73284" w:rsidRDefault="00E132C6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3,9 %</w:t>
            </w:r>
          </w:p>
        </w:tc>
        <w:tc>
          <w:tcPr>
            <w:tcW w:w="1680" w:type="dxa"/>
            <w:tcBorders>
              <w:top w:val="single" w:sz="4" w:space="0" w:color="7C2855"/>
              <w:left w:val="single" w:sz="4" w:space="0" w:color="7C2855"/>
              <w:bottom w:val="single" w:sz="4" w:space="0" w:color="auto"/>
              <w:right w:val="single" w:sz="4" w:space="0" w:color="auto"/>
            </w:tcBorders>
          </w:tcPr>
          <w:p w:rsidR="00E132C6" w:rsidRPr="00A73284" w:rsidRDefault="00E132C6" w:rsidP="00AC29FA">
            <w:pPr>
              <w:pStyle w:val="SDWorx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5,6 %</w:t>
            </w:r>
          </w:p>
        </w:tc>
      </w:tr>
    </w:tbl>
    <w:p w:rsidR="00E132C6" w:rsidRDefault="00E132C6">
      <w:bookmarkStart w:id="1" w:name="_GoBack"/>
      <w:bookmarkEnd w:id="0"/>
      <w:bookmarkEnd w:id="1"/>
    </w:p>
    <w:p w:rsidR="00E132C6" w:rsidRDefault="00E132C6"/>
    <w:p w:rsidR="00E132C6" w:rsidRDefault="00E132C6"/>
    <w:p w:rsidR="00E132C6" w:rsidRDefault="00E132C6"/>
    <w:p w:rsidR="00E132C6" w:rsidRDefault="00E132C6"/>
    <w:p w:rsidR="00E132C6" w:rsidRDefault="00E132C6"/>
    <w:p w:rsidR="00E132C6" w:rsidRDefault="00E132C6"/>
    <w:p w:rsidR="00E132C6" w:rsidRDefault="00E132C6"/>
    <w:p w:rsidR="00E132C6" w:rsidRDefault="00E132C6"/>
    <w:p w:rsidR="00E132C6" w:rsidRDefault="00E132C6"/>
    <w:p w:rsidR="00E132C6" w:rsidRDefault="00E132C6"/>
    <w:sectPr w:rsidR="00E132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C6"/>
    <w:rsid w:val="00077938"/>
    <w:rsid w:val="0050658B"/>
    <w:rsid w:val="00E1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DE4C"/>
  <w15:chartTrackingRefBased/>
  <w15:docId w15:val="{70404D4C-B2D0-407E-B95F-7332E6A8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32C6"/>
    <w:pPr>
      <w:spacing w:after="160" w:line="259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793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077938"/>
    <w:pPr>
      <w:spacing w:before="72" w:after="72" w:line="240" w:lineRule="auto"/>
      <w:outlineLvl w:val="1"/>
    </w:pPr>
    <w:rPr>
      <w:rFonts w:ascii="Georgia" w:hAnsi="Georgia" w:cs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7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7938"/>
    <w:rPr>
      <w:rFonts w:ascii="Georgia" w:hAnsi="Georgia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77938"/>
    <w:rPr>
      <w:b/>
      <w:bCs/>
    </w:rPr>
  </w:style>
  <w:style w:type="character" w:styleId="Hervorhebung">
    <w:name w:val="Emphasis"/>
    <w:basedOn w:val="Absatz-Standardschriftart"/>
    <w:uiPriority w:val="20"/>
    <w:qFormat/>
    <w:rsid w:val="00077938"/>
    <w:rPr>
      <w:i/>
      <w:iCs/>
    </w:rPr>
  </w:style>
  <w:style w:type="paragraph" w:styleId="Listenabsatz">
    <w:name w:val="List Paragraph"/>
    <w:basedOn w:val="Standard"/>
    <w:uiPriority w:val="34"/>
    <w:qFormat/>
    <w:rsid w:val="00077938"/>
    <w:pPr>
      <w:spacing w:after="200" w:line="276" w:lineRule="auto"/>
      <w:ind w:left="720"/>
      <w:contextualSpacing/>
    </w:pPr>
    <w:rPr>
      <w:lang w:val="de-DE"/>
    </w:rPr>
  </w:style>
  <w:style w:type="table" w:styleId="Tabellenraster">
    <w:name w:val="Table Grid"/>
    <w:aliases w:val="sdworx table 1"/>
    <w:basedOn w:val="NormaleTabelle"/>
    <w:uiPriority w:val="39"/>
    <w:rsid w:val="00E132C6"/>
    <w:pPr>
      <w:spacing w:before="80" w:after="80" w:line="240" w:lineRule="auto"/>
      <w:jc w:val="right"/>
    </w:pPr>
    <w:rPr>
      <w:rFonts w:ascii="Arial" w:eastAsiaTheme="minorEastAsia" w:hAnsi="Arial"/>
      <w:color w:val="75787B"/>
      <w:sz w:val="20"/>
      <w:szCs w:val="24"/>
      <w:lang w:val="en-GB"/>
    </w:rPr>
    <w:tblPr>
      <w:tblBorders>
        <w:insideH w:val="single" w:sz="4" w:space="0" w:color="7C2855"/>
        <w:insideV w:val="single" w:sz="4" w:space="0" w:color="7C2855"/>
      </w:tblBorders>
    </w:tblPr>
    <w:tcPr>
      <w:vAlign w:val="center"/>
    </w:tcPr>
    <w:tblStylePr w:type="firstRow">
      <w:rPr>
        <w:rFonts w:ascii="Arial" w:hAnsi="Arial"/>
        <w:b/>
        <w:color w:val="7C2855"/>
        <w:sz w:val="22"/>
      </w:rPr>
      <w:tblPr/>
      <w:tcPr>
        <w:tcBorders>
          <w:top w:val="nil"/>
          <w:left w:val="nil"/>
          <w:bottom w:val="single" w:sz="2" w:space="0" w:color="7C2855"/>
          <w:right w:val="nil"/>
        </w:tcBorders>
      </w:tcPr>
    </w:tblStylePr>
    <w:tblStylePr w:type="lastRow">
      <w:rPr>
        <w:b/>
        <w:color w:val="FFFFFF" w:themeColor="background1"/>
      </w:rPr>
      <w:tblPr/>
      <w:tcPr>
        <w:tcBorders>
          <w:insideH w:val="nil"/>
          <w:insideV w:val="single" w:sz="4" w:space="0" w:color="FFFFFF" w:themeColor="background1"/>
        </w:tcBorders>
        <w:shd w:val="clear" w:color="auto" w:fill="7C2855"/>
      </w:tcPr>
    </w:tblStylePr>
    <w:tblStylePr w:type="firstCol">
      <w:pPr>
        <w:jc w:val="left"/>
      </w:pPr>
    </w:tblStylePr>
  </w:style>
  <w:style w:type="paragraph" w:customStyle="1" w:styleId="SDWorxbodytext">
    <w:name w:val="SD Worx bodytext"/>
    <w:basedOn w:val="Standard"/>
    <w:uiPriority w:val="2"/>
    <w:qFormat/>
    <w:rsid w:val="00E132C6"/>
    <w:rPr>
      <w:color w:val="75787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Matt</dc:creator>
  <cp:keywords/>
  <dc:description/>
  <cp:lastModifiedBy>Markus Matt</cp:lastModifiedBy>
  <cp:revision>1</cp:revision>
  <dcterms:created xsi:type="dcterms:W3CDTF">2017-12-11T14:48:00Z</dcterms:created>
  <dcterms:modified xsi:type="dcterms:W3CDTF">2017-12-11T14:50:00Z</dcterms:modified>
</cp:coreProperties>
</file>