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66" w:rsidRPr="00616666" w:rsidRDefault="00616666" w:rsidP="00616666">
      <w:pPr>
        <w:spacing w:before="240" w:after="60" w:line="276" w:lineRule="auto"/>
        <w:jc w:val="center"/>
        <w:outlineLvl w:val="0"/>
        <w:rPr>
          <w:rFonts w:ascii="Arial" w:hAnsi="Arial" w:cs="Arial"/>
          <w:b/>
          <w:bCs/>
          <w:kern w:val="28"/>
          <w:sz w:val="32"/>
          <w:szCs w:val="32"/>
          <w:lang w:eastAsia="en-US"/>
        </w:rPr>
      </w:pPr>
    </w:p>
    <w:p w:rsidR="00616666" w:rsidRDefault="00616666" w:rsidP="00616666">
      <w:pPr>
        <w:spacing w:before="240" w:after="60" w:line="276" w:lineRule="auto"/>
        <w:jc w:val="center"/>
        <w:outlineLvl w:val="0"/>
        <w:rPr>
          <w:rFonts w:ascii="Arial" w:hAnsi="Arial" w:cs="Arial"/>
          <w:b/>
          <w:bCs/>
          <w:kern w:val="28"/>
          <w:sz w:val="32"/>
          <w:szCs w:val="32"/>
          <w:lang w:eastAsia="en-US"/>
        </w:rPr>
      </w:pPr>
    </w:p>
    <w:p w:rsidR="001940F9" w:rsidRPr="00616666" w:rsidRDefault="001940F9" w:rsidP="00616666">
      <w:pPr>
        <w:spacing w:before="240" w:after="60" w:line="276" w:lineRule="auto"/>
        <w:jc w:val="center"/>
        <w:outlineLvl w:val="0"/>
        <w:rPr>
          <w:rFonts w:ascii="Arial" w:hAnsi="Arial" w:cs="Arial"/>
          <w:b/>
          <w:bCs/>
          <w:kern w:val="28"/>
          <w:sz w:val="32"/>
          <w:szCs w:val="32"/>
          <w:lang w:eastAsia="en-US"/>
        </w:rPr>
      </w:pPr>
    </w:p>
    <w:p w:rsidR="00616666" w:rsidRPr="00616666" w:rsidRDefault="00616666" w:rsidP="00616666">
      <w:pPr>
        <w:spacing w:before="240" w:after="60" w:line="276" w:lineRule="auto"/>
        <w:jc w:val="center"/>
        <w:outlineLvl w:val="0"/>
        <w:rPr>
          <w:rFonts w:ascii="Arial" w:hAnsi="Arial" w:cs="Arial"/>
          <w:b/>
          <w:bCs/>
          <w:kern w:val="28"/>
          <w:sz w:val="32"/>
          <w:szCs w:val="32"/>
          <w:lang w:eastAsia="en-US"/>
        </w:rPr>
      </w:pPr>
      <w:r w:rsidRPr="00616666">
        <w:rPr>
          <w:rFonts w:ascii="Arial" w:hAnsi="Arial" w:cs="Arial"/>
          <w:b/>
          <w:bCs/>
          <w:kern w:val="28"/>
          <w:sz w:val="32"/>
          <w:szCs w:val="32"/>
          <w:lang w:eastAsia="en-US"/>
        </w:rPr>
        <w:t>Antrag auf Umstufung von Cannabis, Cannabisharz und Cannabisextrakt</w:t>
      </w:r>
    </w:p>
    <w:p w:rsidR="001940F9" w:rsidRDefault="001940F9" w:rsidP="00616666">
      <w:pPr>
        <w:keepNext/>
        <w:spacing w:before="240" w:after="60" w:line="276" w:lineRule="auto"/>
        <w:outlineLvl w:val="0"/>
        <w:rPr>
          <w:rFonts w:ascii="Arial" w:hAnsi="Arial" w:cs="Arial"/>
          <w:b/>
          <w:bCs/>
          <w:kern w:val="32"/>
          <w:sz w:val="32"/>
          <w:szCs w:val="32"/>
          <w:lang w:eastAsia="en-US"/>
        </w:rPr>
      </w:pPr>
    </w:p>
    <w:p w:rsidR="00616666" w:rsidRPr="00616666" w:rsidRDefault="00616666" w:rsidP="00616666">
      <w:pPr>
        <w:keepNext/>
        <w:spacing w:before="240" w:after="60" w:line="276" w:lineRule="auto"/>
        <w:outlineLvl w:val="0"/>
        <w:rPr>
          <w:rFonts w:ascii="Arial" w:hAnsi="Arial" w:cs="Arial"/>
          <w:b/>
          <w:bCs/>
          <w:kern w:val="32"/>
          <w:sz w:val="32"/>
          <w:szCs w:val="32"/>
          <w:lang w:eastAsia="en-US"/>
        </w:rPr>
      </w:pPr>
      <w:r w:rsidRPr="00616666">
        <w:rPr>
          <w:rFonts w:ascii="Arial" w:hAnsi="Arial" w:cs="Arial"/>
          <w:b/>
          <w:bCs/>
          <w:kern w:val="32"/>
          <w:sz w:val="32"/>
          <w:szCs w:val="32"/>
          <w:lang w:eastAsia="en-US"/>
        </w:rPr>
        <w:t>Einleitung</w:t>
      </w:r>
    </w:p>
    <w:p w:rsidR="00616666" w:rsidRPr="00616666" w:rsidRDefault="00616666" w:rsidP="00616666">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Die THC Pharm GmbH bietet seit 2002 den Hauptwirkstoff der Cannabispflanze </w:t>
      </w:r>
      <w:r w:rsidR="003336AE" w:rsidRPr="00616666">
        <w:rPr>
          <w:rFonts w:ascii="Arial" w:eastAsia="Calibri" w:hAnsi="Arial" w:cs="Arial"/>
          <w:sz w:val="22"/>
          <w:szCs w:val="22"/>
          <w:lang w:eastAsia="en-US"/>
        </w:rPr>
        <w:t>Dronabinol</w:t>
      </w:r>
      <w:r w:rsidR="003336AE">
        <w:rPr>
          <w:rFonts w:ascii="Arial" w:eastAsia="Calibri" w:hAnsi="Arial" w:cs="Arial"/>
          <w:sz w:val="22"/>
          <w:szCs w:val="22"/>
          <w:lang w:eastAsia="en-US"/>
        </w:rPr>
        <w:t xml:space="preserve"> (</w:t>
      </w:r>
      <w:r w:rsidR="003336AE" w:rsidRPr="003336AE">
        <w:rPr>
          <w:rFonts w:ascii="Symbol" w:eastAsia="Calibri" w:hAnsi="Symbol" w:cs="Arial"/>
          <w:sz w:val="22"/>
          <w:szCs w:val="22"/>
          <w:lang w:eastAsia="en-US"/>
        </w:rPr>
        <w:t></w:t>
      </w:r>
      <w:r w:rsidRPr="003336AE">
        <w:rPr>
          <w:rFonts w:ascii="Arial" w:eastAsia="Calibri" w:hAnsi="Arial" w:cs="Arial"/>
          <w:sz w:val="22"/>
          <w:szCs w:val="22"/>
          <w:vertAlign w:val="superscript"/>
          <w:lang w:eastAsia="en-US"/>
        </w:rPr>
        <w:t>9</w:t>
      </w:r>
      <w:r w:rsidR="003336AE">
        <w:rPr>
          <w:rFonts w:ascii="Arial" w:eastAsia="Calibri" w:hAnsi="Arial" w:cs="Arial"/>
          <w:sz w:val="22"/>
          <w:szCs w:val="22"/>
          <w:lang w:eastAsia="en-US"/>
        </w:rPr>
        <w:t>−</w:t>
      </w:r>
      <w:r w:rsidRPr="00616666">
        <w:rPr>
          <w:rFonts w:ascii="Arial" w:eastAsia="Calibri" w:hAnsi="Arial" w:cs="Arial"/>
          <w:sz w:val="22"/>
          <w:szCs w:val="22"/>
          <w:lang w:eastAsia="en-US"/>
        </w:rPr>
        <w:t>T</w:t>
      </w:r>
      <w:r w:rsidR="003336AE">
        <w:rPr>
          <w:rFonts w:ascii="Arial" w:eastAsia="Calibri" w:hAnsi="Arial" w:cs="Arial"/>
          <w:sz w:val="22"/>
          <w:szCs w:val="22"/>
          <w:lang w:eastAsia="en-US"/>
        </w:rPr>
        <w:t>HC</w:t>
      </w:r>
      <w:r w:rsidRPr="00616666">
        <w:rPr>
          <w:rFonts w:ascii="Arial" w:eastAsia="Calibri" w:hAnsi="Arial" w:cs="Arial"/>
          <w:sz w:val="22"/>
          <w:szCs w:val="22"/>
          <w:lang w:eastAsia="en-US"/>
        </w:rPr>
        <w:t>) als Wirkstoff zur Herstellung von Rezepturen in der Apotheke auf Verschreibung von Ärzten an.</w:t>
      </w:r>
    </w:p>
    <w:p w:rsidR="00616666" w:rsidRPr="00616666" w:rsidRDefault="00616666" w:rsidP="00616666">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Durch die Zusammenarbeit mit DAC </w:t>
      </w:r>
      <w:r w:rsidR="003D02CC">
        <w:rPr>
          <w:rFonts w:ascii="Arial" w:eastAsia="Calibri" w:hAnsi="Arial" w:cs="Arial"/>
          <w:sz w:val="22"/>
          <w:szCs w:val="22"/>
          <w:lang w:eastAsia="en-US"/>
        </w:rPr>
        <w:t xml:space="preserve">(Deutscher Arzneimittel Codex) </w:t>
      </w:r>
      <w:r w:rsidRPr="00616666">
        <w:rPr>
          <w:rFonts w:ascii="Arial" w:eastAsia="Calibri" w:hAnsi="Arial" w:cs="Arial"/>
          <w:sz w:val="22"/>
          <w:szCs w:val="22"/>
          <w:lang w:eastAsia="en-US"/>
        </w:rPr>
        <w:t xml:space="preserve">und NRF </w:t>
      </w:r>
      <w:r w:rsidR="003D02CC">
        <w:rPr>
          <w:rFonts w:ascii="Arial" w:eastAsia="Calibri" w:hAnsi="Arial" w:cs="Arial"/>
          <w:sz w:val="22"/>
          <w:szCs w:val="22"/>
          <w:lang w:eastAsia="en-US"/>
        </w:rPr>
        <w:t xml:space="preserve">(Nationales Rezeptur Formulatorium) </w:t>
      </w:r>
      <w:r w:rsidRPr="00616666">
        <w:rPr>
          <w:rFonts w:ascii="Arial" w:eastAsia="Calibri" w:hAnsi="Arial" w:cs="Arial"/>
          <w:sz w:val="22"/>
          <w:szCs w:val="22"/>
          <w:lang w:eastAsia="en-US"/>
        </w:rPr>
        <w:t>stehe</w:t>
      </w:r>
      <w:r w:rsidR="003D02CC">
        <w:rPr>
          <w:rFonts w:ascii="Arial" w:eastAsia="Calibri" w:hAnsi="Arial" w:cs="Arial"/>
          <w:sz w:val="22"/>
          <w:szCs w:val="22"/>
          <w:lang w:eastAsia="en-US"/>
        </w:rPr>
        <w:t>n sowohl eine Monographie, als auch</w:t>
      </w:r>
      <w:r w:rsidRPr="00616666">
        <w:rPr>
          <w:rFonts w:ascii="Arial" w:eastAsia="Calibri" w:hAnsi="Arial" w:cs="Arial"/>
          <w:sz w:val="22"/>
          <w:szCs w:val="22"/>
          <w:lang w:eastAsia="en-US"/>
        </w:rPr>
        <w:t xml:space="preserve"> Standardrezepturen zur Verfügung.</w:t>
      </w:r>
    </w:p>
    <w:p w:rsidR="00616666" w:rsidRPr="00616666" w:rsidRDefault="00616666" w:rsidP="00616666">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Im Jahre 2007 </w:t>
      </w:r>
      <w:r w:rsidR="00E278EF">
        <w:rPr>
          <w:rFonts w:ascii="Arial" w:eastAsia="Calibri" w:hAnsi="Arial" w:cs="Arial"/>
          <w:sz w:val="22"/>
          <w:szCs w:val="22"/>
          <w:lang w:eastAsia="en-US"/>
        </w:rPr>
        <w:t xml:space="preserve">erarbeiteten wir, auf Anfrage </w:t>
      </w:r>
      <w:r w:rsidRPr="00616666">
        <w:rPr>
          <w:rFonts w:ascii="Arial" w:eastAsia="Calibri" w:hAnsi="Arial" w:cs="Arial"/>
          <w:sz w:val="22"/>
          <w:szCs w:val="22"/>
          <w:lang w:eastAsia="en-US"/>
        </w:rPr>
        <w:t>der Bundesopiumstelle</w:t>
      </w:r>
      <w:r w:rsidR="00E278EF">
        <w:rPr>
          <w:rFonts w:ascii="Arial" w:eastAsia="Calibri" w:hAnsi="Arial" w:cs="Arial"/>
          <w:sz w:val="22"/>
          <w:szCs w:val="22"/>
          <w:lang w:eastAsia="en-US"/>
        </w:rPr>
        <w:t>,</w:t>
      </w:r>
      <w:r w:rsidRPr="00616666">
        <w:rPr>
          <w:rFonts w:ascii="Arial" w:eastAsia="Calibri" w:hAnsi="Arial" w:cs="Arial"/>
          <w:sz w:val="22"/>
          <w:szCs w:val="22"/>
          <w:lang w:eastAsia="en-US"/>
        </w:rPr>
        <w:t xml:space="preserve"> </w:t>
      </w:r>
      <w:r w:rsidR="00E278EF">
        <w:rPr>
          <w:rFonts w:ascii="Arial" w:eastAsia="Calibri" w:hAnsi="Arial" w:cs="Arial"/>
          <w:sz w:val="22"/>
          <w:szCs w:val="22"/>
          <w:lang w:eastAsia="en-US"/>
        </w:rPr>
        <w:t>ein Konzept</w:t>
      </w:r>
      <w:r w:rsidRPr="00616666">
        <w:rPr>
          <w:rFonts w:ascii="Arial" w:eastAsia="Calibri" w:hAnsi="Arial" w:cs="Arial"/>
          <w:sz w:val="22"/>
          <w:szCs w:val="22"/>
          <w:lang w:eastAsia="en-US"/>
        </w:rPr>
        <w:t>, einen von uns entwickelten Cannabisextrakt analog dem Dronabinol als Rezeptursubstanz anzubieten.</w:t>
      </w:r>
    </w:p>
    <w:p w:rsidR="00616666" w:rsidRPr="00616666" w:rsidRDefault="00616666" w:rsidP="00616666">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Seit Ende 2007 werden verschiedene Patienten mit Sondererlaubnis über die Apotheke mit Cannabisextrakt in Form von Kapseln, Tropfen </w:t>
      </w:r>
      <w:r w:rsidR="00E278EF">
        <w:rPr>
          <w:rFonts w:ascii="Arial" w:eastAsia="Calibri" w:hAnsi="Arial" w:cs="Arial"/>
          <w:sz w:val="22"/>
          <w:szCs w:val="22"/>
          <w:lang w:eastAsia="en-US"/>
        </w:rPr>
        <w:t>o</w:t>
      </w:r>
      <w:r w:rsidRPr="00616666">
        <w:rPr>
          <w:rFonts w:ascii="Arial" w:eastAsia="Calibri" w:hAnsi="Arial" w:cs="Arial"/>
          <w:sz w:val="22"/>
          <w:szCs w:val="22"/>
          <w:lang w:eastAsia="en-US"/>
        </w:rPr>
        <w:t>d</w:t>
      </w:r>
      <w:r w:rsidR="00E278EF">
        <w:rPr>
          <w:rFonts w:ascii="Arial" w:eastAsia="Calibri" w:hAnsi="Arial" w:cs="Arial"/>
          <w:sz w:val="22"/>
          <w:szCs w:val="22"/>
          <w:lang w:eastAsia="en-US"/>
        </w:rPr>
        <w:t>er</w:t>
      </w:r>
      <w:r w:rsidRPr="00616666">
        <w:rPr>
          <w:rFonts w:ascii="Arial" w:eastAsia="Calibri" w:hAnsi="Arial" w:cs="Arial"/>
          <w:sz w:val="22"/>
          <w:szCs w:val="22"/>
          <w:lang w:eastAsia="en-US"/>
        </w:rPr>
        <w:t xml:space="preserve"> Inhalationslösung (</w:t>
      </w:r>
      <w:r w:rsidR="005C3016">
        <w:rPr>
          <w:rFonts w:ascii="Arial" w:eastAsia="Calibri" w:hAnsi="Arial" w:cs="Arial"/>
          <w:sz w:val="22"/>
          <w:szCs w:val="22"/>
          <w:lang w:eastAsia="en-US"/>
        </w:rPr>
        <w:t>für den</w:t>
      </w:r>
      <w:r w:rsidRPr="00616666">
        <w:rPr>
          <w:rFonts w:ascii="Arial" w:eastAsia="Calibri" w:hAnsi="Arial" w:cs="Arial"/>
          <w:sz w:val="22"/>
          <w:szCs w:val="22"/>
          <w:lang w:eastAsia="en-US"/>
        </w:rPr>
        <w:t xml:space="preserve"> Vapormed Verdampfer) erfolgreich behandelt.</w:t>
      </w:r>
    </w:p>
    <w:p w:rsidR="00616666" w:rsidRPr="00616666" w:rsidRDefault="00616666" w:rsidP="00616666">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Der Cannabisextrakt ist auf THC, CBD und verschiedene andere Cannabinoide </w:t>
      </w:r>
      <w:r w:rsidR="005C3016">
        <w:rPr>
          <w:rFonts w:ascii="Arial" w:eastAsia="Calibri" w:hAnsi="Arial" w:cs="Arial"/>
          <w:sz w:val="22"/>
          <w:szCs w:val="22"/>
          <w:lang w:eastAsia="en-US"/>
        </w:rPr>
        <w:t>standardis</w:t>
      </w:r>
      <w:r w:rsidRPr="00616666">
        <w:rPr>
          <w:rFonts w:ascii="Arial" w:eastAsia="Calibri" w:hAnsi="Arial" w:cs="Arial"/>
          <w:sz w:val="22"/>
          <w:szCs w:val="22"/>
          <w:lang w:eastAsia="en-US"/>
        </w:rPr>
        <w:t>iert und ermöglicht so die Herstellung hoch</w:t>
      </w:r>
      <w:r w:rsidR="005C3016">
        <w:rPr>
          <w:rFonts w:ascii="Arial" w:eastAsia="Calibri" w:hAnsi="Arial" w:cs="Arial"/>
          <w:sz w:val="22"/>
          <w:szCs w:val="22"/>
          <w:lang w:eastAsia="en-US"/>
        </w:rPr>
        <w:t>wertiger und sicher</w:t>
      </w:r>
      <w:r w:rsidRPr="00616666">
        <w:rPr>
          <w:rFonts w:ascii="Arial" w:eastAsia="Calibri" w:hAnsi="Arial" w:cs="Arial"/>
          <w:sz w:val="22"/>
          <w:szCs w:val="22"/>
          <w:lang w:eastAsia="en-US"/>
        </w:rPr>
        <w:t>er Rezepturarzneimittel in der Apotheke. Es stehen verschiedene Extrakte aus Cannabis, sowie Cannabisharz zur Verfügung.</w:t>
      </w:r>
    </w:p>
    <w:p w:rsidR="00616666" w:rsidRPr="00616666" w:rsidRDefault="00616666" w:rsidP="00616666">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Die Wirksamkeit von Cannabisextrakt ist </w:t>
      </w:r>
      <w:r w:rsidR="005C3016">
        <w:rPr>
          <w:rFonts w:ascii="Arial" w:eastAsia="Calibri" w:hAnsi="Arial" w:cs="Arial"/>
          <w:sz w:val="22"/>
          <w:szCs w:val="22"/>
          <w:lang w:eastAsia="en-US"/>
        </w:rPr>
        <w:t xml:space="preserve">inzwischen </w:t>
      </w:r>
      <w:r w:rsidRPr="00616666">
        <w:rPr>
          <w:rFonts w:ascii="Arial" w:eastAsia="Calibri" w:hAnsi="Arial" w:cs="Arial"/>
          <w:sz w:val="22"/>
          <w:szCs w:val="22"/>
          <w:lang w:eastAsia="en-US"/>
        </w:rPr>
        <w:t>für verschiedene Indikationen belegt, ein Verbleiben des Stoffes in Anlage 1 ist deshalb, entsprechend den Vorgaben des BtmG, nicht erforderlich.</w:t>
      </w:r>
    </w:p>
    <w:p w:rsidR="001940F9" w:rsidRDefault="001940F9" w:rsidP="00616666">
      <w:pPr>
        <w:keepNext/>
        <w:spacing w:before="240" w:after="60" w:line="276" w:lineRule="auto"/>
        <w:outlineLvl w:val="0"/>
        <w:rPr>
          <w:rFonts w:ascii="Arial" w:hAnsi="Arial" w:cs="Arial"/>
          <w:b/>
          <w:bCs/>
          <w:kern w:val="32"/>
          <w:sz w:val="32"/>
          <w:szCs w:val="32"/>
          <w:lang w:eastAsia="en-US"/>
        </w:rPr>
      </w:pPr>
      <w:r>
        <w:rPr>
          <w:rFonts w:ascii="Arial" w:hAnsi="Arial" w:cs="Arial"/>
          <w:b/>
          <w:bCs/>
          <w:kern w:val="32"/>
          <w:sz w:val="32"/>
          <w:szCs w:val="32"/>
          <w:lang w:eastAsia="en-US"/>
        </w:rPr>
        <w:br w:type="page"/>
      </w:r>
    </w:p>
    <w:p w:rsidR="001940F9" w:rsidRDefault="001940F9" w:rsidP="00616666">
      <w:pPr>
        <w:keepNext/>
        <w:spacing w:before="240" w:after="60" w:line="276" w:lineRule="auto"/>
        <w:outlineLvl w:val="0"/>
        <w:rPr>
          <w:rFonts w:ascii="Arial" w:hAnsi="Arial" w:cs="Arial"/>
          <w:b/>
          <w:bCs/>
          <w:kern w:val="32"/>
          <w:sz w:val="32"/>
          <w:szCs w:val="32"/>
          <w:lang w:eastAsia="en-US"/>
        </w:rPr>
      </w:pPr>
    </w:p>
    <w:p w:rsidR="00616666" w:rsidRPr="00616666" w:rsidRDefault="00616666" w:rsidP="00616666">
      <w:pPr>
        <w:keepNext/>
        <w:spacing w:before="240" w:after="60" w:line="276" w:lineRule="auto"/>
        <w:outlineLvl w:val="0"/>
        <w:rPr>
          <w:rFonts w:ascii="Arial" w:hAnsi="Arial" w:cs="Arial"/>
          <w:b/>
          <w:bCs/>
          <w:kern w:val="32"/>
          <w:sz w:val="32"/>
          <w:szCs w:val="32"/>
          <w:lang w:eastAsia="en-US"/>
        </w:rPr>
      </w:pPr>
      <w:r w:rsidRPr="00616666">
        <w:rPr>
          <w:rFonts w:ascii="Arial" w:hAnsi="Arial" w:cs="Arial"/>
          <w:b/>
          <w:bCs/>
          <w:kern w:val="32"/>
          <w:sz w:val="32"/>
          <w:szCs w:val="32"/>
          <w:lang w:eastAsia="en-US"/>
        </w:rPr>
        <w:t>Umstufung</w:t>
      </w:r>
    </w:p>
    <w:p w:rsidR="00616666" w:rsidRPr="00616666" w:rsidRDefault="00616666" w:rsidP="00F566E8">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Wir beantragen, unter Berücksichtigung der Empfehlungen des Betäubungsmittelsachverständigen</w:t>
      </w:r>
      <w:r w:rsidR="00615071">
        <w:rPr>
          <w:rFonts w:ascii="Arial" w:eastAsia="Calibri" w:hAnsi="Arial" w:cs="Arial"/>
          <w:sz w:val="22"/>
          <w:szCs w:val="22"/>
          <w:lang w:eastAsia="en-US"/>
        </w:rPr>
        <w:t>ausschuss</w:t>
      </w:r>
      <w:r w:rsidRPr="00616666">
        <w:rPr>
          <w:rFonts w:ascii="Arial" w:eastAsia="Calibri" w:hAnsi="Arial" w:cs="Arial"/>
          <w:sz w:val="22"/>
          <w:szCs w:val="22"/>
          <w:lang w:eastAsia="en-US"/>
        </w:rPr>
        <w:t xml:space="preserve"> vom 0</w:t>
      </w:r>
      <w:r w:rsidR="001940F9">
        <w:rPr>
          <w:rFonts w:ascii="Arial" w:eastAsia="Calibri" w:hAnsi="Arial" w:cs="Arial"/>
          <w:sz w:val="22"/>
          <w:szCs w:val="22"/>
          <w:lang w:eastAsia="en-US"/>
        </w:rPr>
        <w:t>3</w:t>
      </w:r>
      <w:r w:rsidRPr="00616666">
        <w:rPr>
          <w:rFonts w:ascii="Arial" w:eastAsia="Calibri" w:hAnsi="Arial" w:cs="Arial"/>
          <w:sz w:val="22"/>
          <w:szCs w:val="22"/>
          <w:lang w:eastAsia="en-US"/>
        </w:rPr>
        <w:t>.05.2010:</w:t>
      </w:r>
    </w:p>
    <w:p w:rsidR="00616666" w:rsidRPr="00D30FBF" w:rsidRDefault="00616666" w:rsidP="00D30FBF">
      <w:pPr>
        <w:spacing w:after="200" w:line="360" w:lineRule="exact"/>
        <w:rPr>
          <w:rFonts w:ascii="Arial" w:eastAsia="Calibri" w:hAnsi="Arial" w:cs="Arial"/>
          <w:sz w:val="22"/>
          <w:szCs w:val="22"/>
          <w:lang w:eastAsia="en-US"/>
        </w:rPr>
      </w:pPr>
    </w:p>
    <w:p w:rsidR="001940F9" w:rsidRDefault="00D30FBF" w:rsidP="00D30FBF">
      <w:pPr>
        <w:spacing w:after="200" w:line="360" w:lineRule="exact"/>
        <w:ind w:left="709" w:hanging="283"/>
        <w:rPr>
          <w:rFonts w:ascii="Arial" w:eastAsia="Calibri" w:hAnsi="Arial" w:cs="Arial"/>
          <w:sz w:val="22"/>
          <w:szCs w:val="22"/>
          <w:lang w:eastAsia="en-US"/>
        </w:rPr>
      </w:pPr>
      <w:r>
        <w:rPr>
          <w:rFonts w:ascii="Arial" w:eastAsia="Calibri" w:hAnsi="Arial" w:cs="Arial"/>
          <w:sz w:val="22"/>
          <w:szCs w:val="22"/>
          <w:lang w:eastAsia="en-US"/>
        </w:rPr>
        <w:t>1</w:t>
      </w:r>
      <w:r w:rsidR="001940F9">
        <w:rPr>
          <w:rFonts w:ascii="Arial" w:eastAsia="Calibri" w:hAnsi="Arial" w:cs="Arial"/>
          <w:sz w:val="22"/>
          <w:szCs w:val="22"/>
          <w:lang w:eastAsia="en-US"/>
        </w:rPr>
        <w:t xml:space="preserve">. </w:t>
      </w:r>
      <w:r w:rsidR="00616666" w:rsidRPr="00616666">
        <w:rPr>
          <w:rFonts w:ascii="Arial" w:eastAsia="Calibri" w:hAnsi="Arial" w:cs="Arial"/>
          <w:sz w:val="22"/>
          <w:szCs w:val="22"/>
          <w:lang w:eastAsia="en-US"/>
        </w:rPr>
        <w:t>Änderung der Einschränkung für die vorgeschlagene Aufnahme der Position Cannabisextrakt in Anlage III von:</w:t>
      </w:r>
    </w:p>
    <w:p w:rsidR="00F3652C" w:rsidRPr="00F3652C" w:rsidRDefault="00616666" w:rsidP="00F3652C">
      <w:pPr>
        <w:numPr>
          <w:ilvl w:val="0"/>
          <w:numId w:val="6"/>
        </w:num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nur in Zubereitungen, die als Fertigarzneimittel zugelassen </w:t>
      </w:r>
      <w:r w:rsidRPr="00F3652C">
        <w:rPr>
          <w:rFonts w:ascii="Arial" w:eastAsia="Calibri" w:hAnsi="Arial" w:cs="Arial"/>
          <w:sz w:val="22"/>
          <w:szCs w:val="22"/>
          <w:lang w:eastAsia="en-US"/>
        </w:rPr>
        <w:t>sind</w:t>
      </w:r>
    </w:p>
    <w:p w:rsidR="00F3652C" w:rsidRDefault="00F3652C" w:rsidP="001940F9">
      <w:pPr>
        <w:spacing w:after="200" w:line="360" w:lineRule="exact"/>
        <w:ind w:left="709" w:hanging="283"/>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i</w:t>
      </w:r>
      <w:r w:rsidR="00616666" w:rsidRPr="00616666">
        <w:rPr>
          <w:rFonts w:ascii="Arial" w:eastAsia="Calibri" w:hAnsi="Arial" w:cs="Arial"/>
          <w:color w:val="000000" w:themeColor="text1"/>
          <w:sz w:val="22"/>
          <w:szCs w:val="22"/>
          <w:lang w:eastAsia="en-US"/>
        </w:rPr>
        <w:t>n</w:t>
      </w:r>
    </w:p>
    <w:p w:rsidR="00616666" w:rsidRPr="00F3652C" w:rsidRDefault="00616666" w:rsidP="00F3652C">
      <w:pPr>
        <w:numPr>
          <w:ilvl w:val="0"/>
          <w:numId w:val="6"/>
        </w:numPr>
        <w:spacing w:after="200" w:line="360" w:lineRule="exact"/>
        <w:rPr>
          <w:rFonts w:ascii="Arial" w:eastAsia="Calibri" w:hAnsi="Arial" w:cs="Arial"/>
          <w:sz w:val="22"/>
          <w:szCs w:val="22"/>
          <w:lang w:eastAsia="en-US"/>
        </w:rPr>
      </w:pPr>
      <w:r w:rsidRPr="00F3652C">
        <w:rPr>
          <w:rFonts w:ascii="Arial" w:eastAsia="Calibri" w:hAnsi="Arial" w:cs="Arial"/>
          <w:sz w:val="22"/>
          <w:szCs w:val="22"/>
          <w:lang w:eastAsia="en-US"/>
        </w:rPr>
        <w:t>nur in Zubereitungen</w:t>
      </w:r>
    </w:p>
    <w:p w:rsidR="00D30FBF" w:rsidRPr="00F3652C" w:rsidRDefault="00D30FBF" w:rsidP="001940F9">
      <w:pPr>
        <w:spacing w:after="200" w:line="360" w:lineRule="exact"/>
        <w:ind w:left="709" w:hanging="283"/>
        <w:rPr>
          <w:rFonts w:ascii="Arial" w:eastAsia="Calibri" w:hAnsi="Arial" w:cs="Arial"/>
          <w:sz w:val="22"/>
          <w:szCs w:val="22"/>
          <w:lang w:eastAsia="en-US"/>
        </w:rPr>
      </w:pPr>
    </w:p>
    <w:p w:rsidR="00616666" w:rsidRPr="00616666" w:rsidRDefault="00D30FBF" w:rsidP="001940F9">
      <w:pPr>
        <w:spacing w:after="200" w:line="360" w:lineRule="exact"/>
        <w:ind w:left="709" w:hanging="283"/>
        <w:rPr>
          <w:rFonts w:ascii="Arial" w:eastAsia="Calibri" w:hAnsi="Arial" w:cs="Arial"/>
          <w:sz w:val="22"/>
          <w:szCs w:val="22"/>
          <w:lang w:eastAsia="en-US"/>
        </w:rPr>
      </w:pPr>
      <w:r>
        <w:rPr>
          <w:rFonts w:ascii="Arial" w:eastAsia="Calibri" w:hAnsi="Arial" w:cs="Arial"/>
          <w:sz w:val="22"/>
          <w:szCs w:val="22"/>
          <w:lang w:eastAsia="en-US"/>
        </w:rPr>
        <w:t>2</w:t>
      </w:r>
      <w:r w:rsidR="001940F9">
        <w:rPr>
          <w:rFonts w:ascii="Arial" w:eastAsia="Calibri" w:hAnsi="Arial" w:cs="Arial"/>
          <w:sz w:val="22"/>
          <w:szCs w:val="22"/>
          <w:lang w:eastAsia="en-US"/>
        </w:rPr>
        <w:t xml:space="preserve">. </w:t>
      </w:r>
      <w:r w:rsidR="00616666" w:rsidRPr="00616666">
        <w:rPr>
          <w:rFonts w:ascii="Arial" w:eastAsia="Calibri" w:hAnsi="Arial" w:cs="Arial"/>
          <w:sz w:val="22"/>
          <w:szCs w:val="22"/>
          <w:lang w:eastAsia="en-US"/>
        </w:rPr>
        <w:t xml:space="preserve">Aufnahme einer Ausnahme für die Position Cannabisextrakt für Cannabisextrakt aus, in der EU mit zertifiziertem </w:t>
      </w:r>
      <w:r w:rsidR="001940F9">
        <w:rPr>
          <w:rFonts w:ascii="Arial" w:eastAsia="Calibri" w:hAnsi="Arial" w:cs="Arial"/>
          <w:sz w:val="22"/>
          <w:szCs w:val="22"/>
          <w:lang w:eastAsia="en-US"/>
        </w:rPr>
        <w:t>Saatgut angebautem</w:t>
      </w:r>
      <w:r w:rsidR="00616666" w:rsidRPr="00616666">
        <w:rPr>
          <w:rFonts w:ascii="Arial" w:eastAsia="Calibri" w:hAnsi="Arial" w:cs="Arial"/>
          <w:sz w:val="22"/>
          <w:szCs w:val="22"/>
          <w:lang w:eastAsia="en-US"/>
        </w:rPr>
        <w:t>, oder einen Gehalt an</w:t>
      </w:r>
      <w:r w:rsidR="001940F9">
        <w:rPr>
          <w:rFonts w:ascii="Arial" w:eastAsia="Calibri" w:hAnsi="Arial" w:cs="Arial"/>
          <w:sz w:val="22"/>
          <w:szCs w:val="22"/>
          <w:lang w:eastAsia="en-US"/>
        </w:rPr>
        <w:t xml:space="preserve"> Tetrahydrocannabinol </w:t>
      </w:r>
      <w:r w:rsidR="00616666" w:rsidRPr="00616666">
        <w:rPr>
          <w:rFonts w:ascii="Arial" w:eastAsia="Calibri" w:hAnsi="Arial" w:cs="Arial"/>
          <w:sz w:val="22"/>
          <w:szCs w:val="22"/>
          <w:lang w:eastAsia="en-US"/>
        </w:rPr>
        <w:t>von</w:t>
      </w:r>
      <w:r w:rsidR="001940F9">
        <w:rPr>
          <w:rFonts w:ascii="Arial" w:eastAsia="Calibri" w:hAnsi="Arial" w:cs="Arial"/>
          <w:sz w:val="22"/>
          <w:szCs w:val="22"/>
          <w:lang w:eastAsia="en-US"/>
        </w:rPr>
        <w:t xml:space="preserve"> 0,2 von</w:t>
      </w:r>
      <w:r w:rsidR="00616666" w:rsidRPr="00616666">
        <w:rPr>
          <w:rFonts w:ascii="Arial" w:eastAsia="Calibri" w:hAnsi="Arial" w:cs="Arial"/>
          <w:sz w:val="22"/>
          <w:szCs w:val="22"/>
          <w:lang w:eastAsia="en-US"/>
        </w:rPr>
        <w:t xml:space="preserve"> Hundert nicht übersteigenden Cannabis, sofern eine missbräuchliche Verwendung ausgeschlossen ist.</w:t>
      </w:r>
    </w:p>
    <w:p w:rsidR="00616666" w:rsidRPr="00616666" w:rsidRDefault="00616666" w:rsidP="001940F9">
      <w:pPr>
        <w:spacing w:after="200" w:line="360" w:lineRule="exact"/>
        <w:rPr>
          <w:rFonts w:ascii="Arial" w:eastAsia="Calibri" w:hAnsi="Arial" w:cs="Arial"/>
          <w:sz w:val="22"/>
          <w:szCs w:val="22"/>
          <w:lang w:eastAsia="en-US"/>
        </w:rPr>
      </w:pPr>
    </w:p>
    <w:p w:rsidR="00616666" w:rsidRPr="00616666" w:rsidRDefault="00616666" w:rsidP="001940F9">
      <w:pPr>
        <w:spacing w:after="200" w:line="360" w:lineRule="exact"/>
        <w:rPr>
          <w:rFonts w:ascii="Arial" w:eastAsia="Calibri" w:hAnsi="Arial" w:cs="Arial"/>
          <w:b/>
          <w:sz w:val="32"/>
          <w:szCs w:val="32"/>
          <w:lang w:eastAsia="en-US"/>
        </w:rPr>
      </w:pPr>
      <w:r w:rsidRPr="00616666">
        <w:rPr>
          <w:rFonts w:ascii="Arial" w:eastAsia="Calibri" w:hAnsi="Arial" w:cs="Arial"/>
          <w:b/>
          <w:sz w:val="32"/>
          <w:szCs w:val="32"/>
          <w:lang w:eastAsia="en-US"/>
        </w:rPr>
        <w:t>Begründung</w:t>
      </w:r>
    </w:p>
    <w:p w:rsidR="00616666" w:rsidRPr="00616666" w:rsidRDefault="00616666" w:rsidP="00615071">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Dronabinol, der Hauptwirkstoff der Cannabispflanze ist schon seit 1998 in Deutschland verschreibungsfähig, wird hauptsächlich als Rezeptur verordnet</w:t>
      </w:r>
      <w:r w:rsidR="00615071">
        <w:rPr>
          <w:rFonts w:ascii="Arial" w:eastAsia="Calibri" w:hAnsi="Arial" w:cs="Arial"/>
          <w:sz w:val="22"/>
          <w:szCs w:val="22"/>
          <w:lang w:eastAsia="en-US"/>
        </w:rPr>
        <w:t xml:space="preserve"> und stellt neben Nabilon (zurz</w:t>
      </w:r>
      <w:r w:rsidRPr="00616666">
        <w:rPr>
          <w:rFonts w:ascii="Arial" w:eastAsia="Calibri" w:hAnsi="Arial" w:cs="Arial"/>
          <w:sz w:val="22"/>
          <w:szCs w:val="22"/>
          <w:lang w:eastAsia="en-US"/>
        </w:rPr>
        <w:t>eit nur als Importarzneimittel verfügbar, jedoch in Deutschland bedeutungslos) das einzig verfügbare Cannabinoid (d. h. ein am CB1/CB2 Rezeptor agonistisch wirkender Stoff) dar.</w:t>
      </w:r>
    </w:p>
    <w:p w:rsidR="00616666" w:rsidRPr="00616666" w:rsidRDefault="00616666" w:rsidP="00615071">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Obwohl inzwischen auch ein Cannabisextrakt haltiges Fertigarzneimittel im Ausland zugelassen ist (standardisiert auf THC und CBD), kann nicht davon ausgegangen werden, dass dieses, sowohl von der Zusammensetzung, als auch von der Applikationsform</w:t>
      </w:r>
      <w:r w:rsidR="008A0C76">
        <w:rPr>
          <w:rFonts w:ascii="Arial" w:eastAsia="Calibri" w:hAnsi="Arial" w:cs="Arial"/>
          <w:sz w:val="22"/>
          <w:szCs w:val="22"/>
          <w:lang w:eastAsia="en-US"/>
        </w:rPr>
        <w:t xml:space="preserve"> und dem Preis</w:t>
      </w:r>
      <w:r w:rsidRPr="00616666">
        <w:rPr>
          <w:rFonts w:ascii="Arial" w:eastAsia="Calibri" w:hAnsi="Arial" w:cs="Arial"/>
          <w:sz w:val="22"/>
          <w:szCs w:val="22"/>
          <w:lang w:eastAsia="en-US"/>
        </w:rPr>
        <w:t>, ein für alle Patienten optimales Arzneimittel darstellt, weshalb Alternativen in Form von z</w:t>
      </w:r>
      <w:r w:rsidR="008A0C76">
        <w:rPr>
          <w:rFonts w:ascii="Arial" w:eastAsia="Calibri" w:hAnsi="Arial" w:cs="Arial"/>
          <w:sz w:val="22"/>
          <w:szCs w:val="22"/>
          <w:lang w:eastAsia="en-US"/>
        </w:rPr>
        <w:t>. B. Rezepturarzneimitteln</w:t>
      </w:r>
      <w:r w:rsidRPr="00616666">
        <w:rPr>
          <w:rFonts w:ascii="Arial" w:eastAsia="Calibri" w:hAnsi="Arial" w:cs="Arial"/>
          <w:sz w:val="22"/>
          <w:szCs w:val="22"/>
          <w:lang w:eastAsia="en-US"/>
        </w:rPr>
        <w:t xml:space="preserve"> verfügbar sein sollten.</w:t>
      </w:r>
    </w:p>
    <w:p w:rsidR="00D97EDE" w:rsidRDefault="00D97EDE" w:rsidP="00615071">
      <w:pPr>
        <w:spacing w:after="200" w:line="360" w:lineRule="exact"/>
        <w:rPr>
          <w:rFonts w:ascii="Arial" w:eastAsia="Calibri" w:hAnsi="Arial" w:cs="Arial"/>
          <w:sz w:val="22"/>
          <w:szCs w:val="22"/>
          <w:lang w:eastAsia="en-US"/>
        </w:rPr>
      </w:pPr>
      <w:r>
        <w:rPr>
          <w:rFonts w:ascii="Arial" w:eastAsia="Calibri" w:hAnsi="Arial" w:cs="Arial"/>
          <w:sz w:val="22"/>
          <w:szCs w:val="22"/>
          <w:lang w:eastAsia="en-US"/>
        </w:rPr>
        <w:br w:type="page"/>
      </w:r>
    </w:p>
    <w:p w:rsidR="00D97EDE" w:rsidRDefault="00D97EDE" w:rsidP="00615071">
      <w:pPr>
        <w:spacing w:after="200" w:line="360" w:lineRule="exact"/>
        <w:rPr>
          <w:rFonts w:ascii="Arial" w:eastAsia="Calibri" w:hAnsi="Arial" w:cs="Arial"/>
          <w:sz w:val="22"/>
          <w:szCs w:val="22"/>
          <w:lang w:eastAsia="en-US"/>
        </w:rPr>
      </w:pPr>
    </w:p>
    <w:p w:rsidR="00616666" w:rsidRPr="00616666" w:rsidRDefault="008A0C76" w:rsidP="00615071">
      <w:pPr>
        <w:spacing w:after="200" w:line="360" w:lineRule="exact"/>
        <w:rPr>
          <w:rFonts w:ascii="Arial" w:eastAsia="Calibri" w:hAnsi="Arial" w:cs="Arial"/>
          <w:sz w:val="22"/>
          <w:szCs w:val="22"/>
          <w:lang w:eastAsia="en-US"/>
        </w:rPr>
      </w:pPr>
      <w:r>
        <w:rPr>
          <w:rFonts w:ascii="Arial" w:eastAsia="Calibri" w:hAnsi="Arial" w:cs="Arial"/>
          <w:sz w:val="22"/>
          <w:szCs w:val="22"/>
          <w:lang w:eastAsia="en-US"/>
        </w:rPr>
        <w:t>Die Vorteile von</w:t>
      </w:r>
      <w:r w:rsidR="00616666" w:rsidRPr="00616666">
        <w:rPr>
          <w:rFonts w:ascii="Arial" w:eastAsia="Calibri" w:hAnsi="Arial" w:cs="Arial"/>
          <w:sz w:val="22"/>
          <w:szCs w:val="22"/>
          <w:lang w:eastAsia="en-US"/>
        </w:rPr>
        <w:t xml:space="preserve"> R</w:t>
      </w:r>
      <w:r w:rsidR="00615071">
        <w:rPr>
          <w:rFonts w:ascii="Arial" w:eastAsia="Calibri" w:hAnsi="Arial" w:cs="Arial"/>
          <w:sz w:val="22"/>
          <w:szCs w:val="22"/>
          <w:lang w:eastAsia="en-US"/>
        </w:rPr>
        <w:t>ezepturen sind insbesondere bei</w:t>
      </w:r>
      <w:r w:rsidR="00616666" w:rsidRPr="00616666">
        <w:rPr>
          <w:rFonts w:ascii="Arial" w:eastAsia="Calibri" w:hAnsi="Arial" w:cs="Arial"/>
          <w:sz w:val="22"/>
          <w:szCs w:val="22"/>
          <w:lang w:eastAsia="en-US"/>
        </w:rPr>
        <w:t xml:space="preserve"> der Gruppe der Cannabinoide auffällig. Cannabinoide finden typischerweise Einsatz bei multimorbiden, geriatrischen und pädiatrischen  Patienten, d.h. schwerstkranken Menschen, bei denen Applikation und Dosierung besonders kritisch und variabel sind.</w:t>
      </w:r>
    </w:p>
    <w:p w:rsidR="00616666" w:rsidRPr="00616666" w:rsidRDefault="00616666" w:rsidP="001940F9">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lastRenderedPageBreak/>
        <w:t>Der</w:t>
      </w:r>
      <w:r w:rsidR="00615071">
        <w:rPr>
          <w:rFonts w:ascii="Arial" w:eastAsia="Calibri" w:hAnsi="Arial" w:cs="Arial"/>
          <w:sz w:val="22"/>
          <w:szCs w:val="22"/>
          <w:lang w:eastAsia="en-US"/>
        </w:rPr>
        <w:t xml:space="preserve"> Verfügbarkeit von Cannabis in Form von C</w:t>
      </w:r>
      <w:r w:rsidRPr="00616666">
        <w:rPr>
          <w:rFonts w:ascii="Arial" w:eastAsia="Calibri" w:hAnsi="Arial" w:cs="Arial"/>
          <w:sz w:val="22"/>
          <w:szCs w:val="22"/>
          <w:lang w:eastAsia="en-US"/>
        </w:rPr>
        <w:t>annabisextrakt wurde vom BfArM auch Rechnung getragen durch die Erteilung einer Erlaubnis zur Abgabe von Cannabisextrakt an Apotheken zur Anwendung am Menschen im Jahr 2007.</w:t>
      </w:r>
    </w:p>
    <w:p w:rsidR="008A0C76" w:rsidRDefault="00616666" w:rsidP="00615071">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Zu 1.: </w:t>
      </w:r>
    </w:p>
    <w:p w:rsidR="00616666" w:rsidRPr="00616666" w:rsidRDefault="00616666" w:rsidP="00615071">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Die Beschränkung der Verschreibungsfähigkeit von Cannabisextrakt auf </w:t>
      </w:r>
      <w:r w:rsidR="008A0C76">
        <w:rPr>
          <w:rFonts w:ascii="Arial" w:eastAsia="Calibri" w:hAnsi="Arial" w:cs="Arial"/>
          <w:sz w:val="22"/>
          <w:szCs w:val="22"/>
          <w:lang w:eastAsia="en-US"/>
        </w:rPr>
        <w:t xml:space="preserve">zugelassene </w:t>
      </w:r>
      <w:r w:rsidRPr="00616666">
        <w:rPr>
          <w:rFonts w:ascii="Arial" w:eastAsia="Calibri" w:hAnsi="Arial" w:cs="Arial"/>
          <w:sz w:val="22"/>
          <w:szCs w:val="22"/>
          <w:lang w:eastAsia="en-US"/>
        </w:rPr>
        <w:t>Fertigarzneimittel ist</w:t>
      </w:r>
      <w:r w:rsidR="00615071">
        <w:rPr>
          <w:rFonts w:ascii="Arial" w:eastAsia="Calibri" w:hAnsi="Arial" w:cs="Arial"/>
          <w:sz w:val="22"/>
          <w:szCs w:val="22"/>
          <w:lang w:eastAsia="en-US"/>
        </w:rPr>
        <w:t>, unter anderem, aus folge</w:t>
      </w:r>
      <w:r w:rsidRPr="00616666">
        <w:rPr>
          <w:rFonts w:ascii="Arial" w:eastAsia="Calibri" w:hAnsi="Arial" w:cs="Arial"/>
          <w:sz w:val="22"/>
          <w:szCs w:val="22"/>
          <w:lang w:eastAsia="en-US"/>
        </w:rPr>
        <w:t>nden Gründen problematisch.</w:t>
      </w:r>
    </w:p>
    <w:p w:rsidR="00616666" w:rsidRPr="00616666" w:rsidRDefault="00616666" w:rsidP="00615071">
      <w:pPr>
        <w:numPr>
          <w:ilvl w:val="0"/>
          <w:numId w:val="5"/>
        </w:num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Hierdurch wird die Anwendung von Cannabisextrakt in Form von Rezepturen blockiert, obwohl diese schon seit 2007 erfolgreich eingesetzt werden. Aus den bisherigen Erfahrungen ist es klar ersichtlich, dass der individuell angepasste Einsatz von Cannabisextrakt als Rezeptur im Vergleich zu einem Fertigarzneimittel </w:t>
      </w:r>
      <w:r w:rsidR="00615071">
        <w:rPr>
          <w:rFonts w:ascii="Arial" w:eastAsia="Calibri" w:hAnsi="Arial" w:cs="Arial"/>
          <w:sz w:val="22"/>
          <w:szCs w:val="22"/>
          <w:lang w:eastAsia="en-US"/>
        </w:rPr>
        <w:t>v</w:t>
      </w:r>
      <w:r w:rsidRPr="00616666">
        <w:rPr>
          <w:rFonts w:ascii="Arial" w:eastAsia="Calibri" w:hAnsi="Arial" w:cs="Arial"/>
          <w:sz w:val="22"/>
          <w:szCs w:val="22"/>
          <w:lang w:eastAsia="en-US"/>
        </w:rPr>
        <w:t>iele Vorteile zeigt.</w:t>
      </w:r>
    </w:p>
    <w:p w:rsidR="00616666" w:rsidRPr="00616666" w:rsidRDefault="00616666" w:rsidP="00615071">
      <w:pPr>
        <w:numPr>
          <w:ilvl w:val="0"/>
          <w:numId w:val="5"/>
        </w:num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Rezepturen sind ein fester Bestandteil der Verschreibungen in Deutschland, da sie im Gegensatz zu Fertigarzneimitteln individuell an den jeweiligen Patienten angepasst werden können, bzw. die Anwendung eines bestimmten Arzneimittels, bei nicht vorhanden sein eines Fertigarzneimittels, überhaupt erst ermöglichen und somit einen wesentlichen Faktor für die Therap</w:t>
      </w:r>
      <w:r w:rsidR="00615071">
        <w:rPr>
          <w:rFonts w:ascii="Arial" w:eastAsia="Calibri" w:hAnsi="Arial" w:cs="Arial"/>
          <w:sz w:val="22"/>
          <w:szCs w:val="22"/>
          <w:lang w:eastAsia="en-US"/>
        </w:rPr>
        <w:t xml:space="preserve">iefreiheit des </w:t>
      </w:r>
      <w:r w:rsidRPr="00616666">
        <w:rPr>
          <w:rFonts w:ascii="Arial" w:eastAsia="Calibri" w:hAnsi="Arial" w:cs="Arial"/>
          <w:sz w:val="22"/>
          <w:szCs w:val="22"/>
          <w:lang w:eastAsia="en-US"/>
        </w:rPr>
        <w:t>Arztes darstellen.</w:t>
      </w:r>
    </w:p>
    <w:p w:rsidR="00616666" w:rsidRPr="00616666" w:rsidRDefault="00616666" w:rsidP="00615071">
      <w:pPr>
        <w:numPr>
          <w:ilvl w:val="0"/>
          <w:numId w:val="5"/>
        </w:num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Die Sicherstellung der Versorgung der Bevölkerung mit Betäubungsmitteln im Sinne des BtMG wäre nicht gewährleistet, da aus </w:t>
      </w:r>
      <w:r w:rsidR="00615071">
        <w:rPr>
          <w:rFonts w:ascii="Arial" w:eastAsia="Calibri" w:hAnsi="Arial" w:cs="Arial"/>
          <w:sz w:val="22"/>
          <w:szCs w:val="22"/>
          <w:lang w:eastAsia="en-US"/>
        </w:rPr>
        <w:t>den bisherigen Erfahrungen mit C</w:t>
      </w:r>
      <w:r w:rsidRPr="00616666">
        <w:rPr>
          <w:rFonts w:ascii="Arial" w:eastAsia="Calibri" w:hAnsi="Arial" w:cs="Arial"/>
          <w:sz w:val="22"/>
          <w:szCs w:val="22"/>
          <w:lang w:eastAsia="en-US"/>
        </w:rPr>
        <w:t>annabisextrakt haltigen Fertigarzneimitteln klar ist, dass die besondere Applikationsform und der hohe Ethanol Gehalt die Anwendung für viele Patienten verhindert.</w:t>
      </w:r>
    </w:p>
    <w:p w:rsidR="00616666" w:rsidRPr="00616666" w:rsidRDefault="00616666" w:rsidP="00615071">
      <w:pPr>
        <w:numPr>
          <w:ilvl w:val="0"/>
          <w:numId w:val="5"/>
        </w:num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Die vorgeschlagene Änderung erschwert die Entwicklung neuer Cannabis basierter Fertigarzneimittel in Deutschland.</w:t>
      </w:r>
    </w:p>
    <w:p w:rsidR="00D2275A" w:rsidRDefault="00D2275A" w:rsidP="004135BD">
      <w:pPr>
        <w:spacing w:after="200" w:line="360" w:lineRule="exact"/>
        <w:rPr>
          <w:rFonts w:ascii="Arial" w:eastAsia="Calibri" w:hAnsi="Arial" w:cs="Arial"/>
          <w:sz w:val="22"/>
          <w:szCs w:val="22"/>
          <w:lang w:eastAsia="en-US"/>
        </w:rPr>
      </w:pPr>
      <w:r>
        <w:rPr>
          <w:rFonts w:ascii="Arial" w:eastAsia="Calibri" w:hAnsi="Arial" w:cs="Arial"/>
          <w:sz w:val="22"/>
          <w:szCs w:val="22"/>
          <w:lang w:eastAsia="en-US"/>
        </w:rPr>
        <w:br w:type="page"/>
      </w:r>
    </w:p>
    <w:p w:rsidR="00D2275A" w:rsidRDefault="00D2275A" w:rsidP="004135BD">
      <w:pPr>
        <w:spacing w:after="200" w:line="360" w:lineRule="exact"/>
        <w:rPr>
          <w:rFonts w:ascii="Arial" w:eastAsia="Calibri" w:hAnsi="Arial" w:cs="Arial"/>
          <w:sz w:val="22"/>
          <w:szCs w:val="22"/>
          <w:lang w:eastAsia="en-US"/>
        </w:rPr>
      </w:pPr>
    </w:p>
    <w:p w:rsidR="00D2275A" w:rsidRDefault="00616666" w:rsidP="004135BD">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 xml:space="preserve">Zu </w:t>
      </w:r>
      <w:r w:rsidR="00D97EDE">
        <w:rPr>
          <w:rFonts w:ascii="Arial" w:eastAsia="Calibri" w:hAnsi="Arial" w:cs="Arial"/>
          <w:sz w:val="22"/>
          <w:szCs w:val="22"/>
          <w:lang w:eastAsia="en-US"/>
        </w:rPr>
        <w:t>2</w:t>
      </w:r>
      <w:r w:rsidRPr="00616666">
        <w:rPr>
          <w:rFonts w:ascii="Arial" w:eastAsia="Calibri" w:hAnsi="Arial" w:cs="Arial"/>
          <w:sz w:val="22"/>
          <w:szCs w:val="22"/>
          <w:lang w:eastAsia="en-US"/>
        </w:rPr>
        <w:t xml:space="preserve">.: </w:t>
      </w:r>
    </w:p>
    <w:p w:rsidR="00616666" w:rsidRPr="00616666" w:rsidRDefault="00616666" w:rsidP="004135BD">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Der Umgang mit Cannabis aus zertifiziertem Saatgut, bzw. Cannabis mit einem</w:t>
      </w:r>
      <w:r w:rsidR="004135BD">
        <w:rPr>
          <w:rFonts w:ascii="Arial" w:eastAsia="Calibri" w:hAnsi="Arial" w:cs="Arial"/>
          <w:sz w:val="22"/>
          <w:szCs w:val="22"/>
          <w:lang w:eastAsia="en-US"/>
        </w:rPr>
        <w:t xml:space="preserve"> THC Gehalt unter 0,2% ist zurz</w:t>
      </w:r>
      <w:r w:rsidRPr="00616666">
        <w:rPr>
          <w:rFonts w:ascii="Arial" w:eastAsia="Calibri" w:hAnsi="Arial" w:cs="Arial"/>
          <w:sz w:val="22"/>
          <w:szCs w:val="22"/>
          <w:lang w:eastAsia="en-US"/>
        </w:rPr>
        <w:t xml:space="preserve">eit möglich, sofern ein </w:t>
      </w:r>
      <w:r w:rsidR="004135BD" w:rsidRPr="00616666">
        <w:rPr>
          <w:rFonts w:ascii="Arial" w:eastAsia="Calibri" w:hAnsi="Arial" w:cs="Arial"/>
          <w:sz w:val="22"/>
          <w:szCs w:val="22"/>
          <w:lang w:eastAsia="en-US"/>
        </w:rPr>
        <w:t>Missbrauch</w:t>
      </w:r>
      <w:r w:rsidRPr="00616666">
        <w:rPr>
          <w:rFonts w:ascii="Arial" w:eastAsia="Calibri" w:hAnsi="Arial" w:cs="Arial"/>
          <w:sz w:val="22"/>
          <w:szCs w:val="22"/>
          <w:lang w:eastAsia="en-US"/>
        </w:rPr>
        <w:t xml:space="preserve"> ausgeschlossen werden kann. Durch</w:t>
      </w:r>
      <w:r w:rsidR="004135BD">
        <w:rPr>
          <w:rFonts w:ascii="Arial" w:eastAsia="Calibri" w:hAnsi="Arial" w:cs="Arial"/>
          <w:sz w:val="22"/>
          <w:szCs w:val="22"/>
          <w:lang w:eastAsia="en-US"/>
        </w:rPr>
        <w:t xml:space="preserve"> die Aufnahme von Cannabisextra</w:t>
      </w:r>
      <w:r w:rsidRPr="00616666">
        <w:rPr>
          <w:rFonts w:ascii="Arial" w:eastAsia="Calibri" w:hAnsi="Arial" w:cs="Arial"/>
          <w:sz w:val="22"/>
          <w:szCs w:val="22"/>
          <w:lang w:eastAsia="en-US"/>
        </w:rPr>
        <w:t xml:space="preserve">kt in das BtMG ohne Ausnahme wäre die </w:t>
      </w:r>
      <w:r w:rsidR="00D97EDE">
        <w:rPr>
          <w:rFonts w:ascii="Arial" w:eastAsia="Calibri" w:hAnsi="Arial" w:cs="Arial"/>
          <w:sz w:val="22"/>
          <w:szCs w:val="22"/>
          <w:lang w:eastAsia="en-US"/>
        </w:rPr>
        <w:t xml:space="preserve">gewerbliche </w:t>
      </w:r>
      <w:r w:rsidRPr="00616666">
        <w:rPr>
          <w:rFonts w:ascii="Arial" w:eastAsia="Calibri" w:hAnsi="Arial" w:cs="Arial"/>
          <w:sz w:val="22"/>
          <w:szCs w:val="22"/>
          <w:lang w:eastAsia="en-US"/>
        </w:rPr>
        <w:t>Verwendung (z. B. Herstellung von Cannabidiol) erschwert bis unmöglich.</w:t>
      </w:r>
    </w:p>
    <w:p w:rsidR="00D97EDE" w:rsidRDefault="00D97EDE" w:rsidP="004135BD">
      <w:pPr>
        <w:spacing w:after="200" w:line="360" w:lineRule="exact"/>
        <w:rPr>
          <w:rFonts w:ascii="Arial" w:eastAsia="Calibri" w:hAnsi="Arial" w:cs="Arial"/>
          <w:sz w:val="22"/>
          <w:szCs w:val="22"/>
          <w:lang w:eastAsia="en-US"/>
        </w:rPr>
      </w:pPr>
    </w:p>
    <w:p w:rsidR="00D2275A" w:rsidRDefault="00D2275A" w:rsidP="004135BD">
      <w:pPr>
        <w:spacing w:after="200" w:line="360" w:lineRule="exact"/>
        <w:rPr>
          <w:rFonts w:ascii="Arial" w:eastAsia="Calibri" w:hAnsi="Arial" w:cs="Arial"/>
          <w:sz w:val="22"/>
          <w:szCs w:val="22"/>
          <w:lang w:eastAsia="en-US"/>
        </w:rPr>
      </w:pPr>
    </w:p>
    <w:p w:rsidR="00616666" w:rsidRPr="00616666" w:rsidRDefault="00616666" w:rsidP="004135BD">
      <w:pPr>
        <w:spacing w:after="200" w:line="360" w:lineRule="exact"/>
        <w:rPr>
          <w:rFonts w:ascii="Arial" w:eastAsia="Calibri" w:hAnsi="Arial" w:cs="Arial"/>
          <w:sz w:val="22"/>
          <w:szCs w:val="22"/>
          <w:lang w:eastAsia="en-US"/>
        </w:rPr>
      </w:pPr>
      <w:r w:rsidRPr="00616666">
        <w:rPr>
          <w:rFonts w:ascii="Arial" w:eastAsia="Calibri" w:hAnsi="Arial" w:cs="Arial"/>
          <w:sz w:val="22"/>
          <w:szCs w:val="22"/>
          <w:lang w:eastAsia="en-US"/>
        </w:rPr>
        <w:t>Durch die Übe</w:t>
      </w:r>
      <w:r w:rsidR="004135BD">
        <w:rPr>
          <w:rFonts w:ascii="Arial" w:eastAsia="Calibri" w:hAnsi="Arial" w:cs="Arial"/>
          <w:sz w:val="22"/>
          <w:szCs w:val="22"/>
          <w:lang w:eastAsia="en-US"/>
        </w:rPr>
        <w:t>rnahme der Vorschläge des Bet</w:t>
      </w:r>
      <w:r w:rsidRPr="00616666">
        <w:rPr>
          <w:rFonts w:ascii="Arial" w:eastAsia="Calibri" w:hAnsi="Arial" w:cs="Arial"/>
          <w:sz w:val="22"/>
          <w:szCs w:val="22"/>
          <w:lang w:eastAsia="en-US"/>
        </w:rPr>
        <w:t>äubungsmittelsachverständigen</w:t>
      </w:r>
      <w:r w:rsidR="004135BD">
        <w:rPr>
          <w:rFonts w:ascii="Arial" w:eastAsia="Calibri" w:hAnsi="Arial" w:cs="Arial"/>
          <w:sz w:val="22"/>
          <w:szCs w:val="22"/>
          <w:lang w:eastAsia="en-US"/>
        </w:rPr>
        <w:t>ausschuss</w:t>
      </w:r>
      <w:r w:rsidRPr="00616666">
        <w:rPr>
          <w:rFonts w:ascii="Arial" w:eastAsia="Calibri" w:hAnsi="Arial" w:cs="Arial"/>
          <w:sz w:val="22"/>
          <w:szCs w:val="22"/>
          <w:lang w:eastAsia="en-US"/>
        </w:rPr>
        <w:t xml:space="preserve"> oh</w:t>
      </w:r>
      <w:r w:rsidR="004135BD">
        <w:rPr>
          <w:rFonts w:ascii="Arial" w:eastAsia="Calibri" w:hAnsi="Arial" w:cs="Arial"/>
          <w:sz w:val="22"/>
          <w:szCs w:val="22"/>
          <w:lang w:eastAsia="en-US"/>
        </w:rPr>
        <w:t xml:space="preserve">ne </w:t>
      </w:r>
      <w:r w:rsidR="004135BD" w:rsidRPr="00D2275A">
        <w:rPr>
          <w:rFonts w:ascii="Arial" w:eastAsia="Calibri" w:hAnsi="Arial" w:cs="Arial"/>
          <w:sz w:val="22"/>
          <w:szCs w:val="22"/>
          <w:lang w:eastAsia="en-US"/>
        </w:rPr>
        <w:t>Änderung wäre insgesamt ein</w:t>
      </w:r>
      <w:r w:rsidR="00D97EDE" w:rsidRPr="00D2275A">
        <w:rPr>
          <w:rFonts w:ascii="Arial" w:eastAsia="Calibri" w:hAnsi="Arial" w:cs="Arial"/>
          <w:sz w:val="22"/>
          <w:szCs w:val="22"/>
          <w:lang w:eastAsia="en-US"/>
        </w:rPr>
        <w:t>e Verschlechterung der Patientenversorgung zu erwarten. Darüber hinaus ist ein</w:t>
      </w:r>
      <w:r w:rsidR="004135BD" w:rsidRPr="00D2275A">
        <w:rPr>
          <w:rFonts w:ascii="Arial" w:eastAsia="Calibri" w:hAnsi="Arial" w:cs="Arial"/>
          <w:sz w:val="22"/>
          <w:szCs w:val="22"/>
          <w:lang w:eastAsia="en-US"/>
        </w:rPr>
        <w:t xml:space="preserve"> </w:t>
      </w:r>
      <w:r w:rsidRPr="00D2275A">
        <w:rPr>
          <w:rFonts w:ascii="Arial" w:eastAsia="Calibri" w:hAnsi="Arial" w:cs="Arial"/>
          <w:sz w:val="22"/>
          <w:szCs w:val="22"/>
          <w:lang w:eastAsia="en-US"/>
        </w:rPr>
        <w:t xml:space="preserve">wirtschaftlicher Schaden für uns und andere in Deutschland </w:t>
      </w:r>
      <w:r w:rsidR="00D97EDE" w:rsidRPr="00D2275A">
        <w:rPr>
          <w:rFonts w:ascii="Arial" w:eastAsia="Calibri" w:hAnsi="Arial" w:cs="Arial"/>
          <w:sz w:val="22"/>
          <w:szCs w:val="22"/>
          <w:lang w:eastAsia="en-US"/>
        </w:rPr>
        <w:t xml:space="preserve">ansässige Wirkstoffhersteller sehr </w:t>
      </w:r>
      <w:r w:rsidRPr="00D2275A">
        <w:rPr>
          <w:rFonts w:ascii="Arial" w:eastAsia="Calibri" w:hAnsi="Arial" w:cs="Arial"/>
          <w:sz w:val="22"/>
          <w:szCs w:val="22"/>
          <w:lang w:eastAsia="en-US"/>
        </w:rPr>
        <w:t>wahrscheinlich.</w:t>
      </w:r>
      <w:r w:rsidR="00D97EDE" w:rsidRPr="00D2275A">
        <w:rPr>
          <w:rFonts w:ascii="Arial" w:eastAsia="Calibri" w:hAnsi="Arial" w:cs="Arial"/>
          <w:sz w:val="22"/>
          <w:szCs w:val="22"/>
          <w:lang w:eastAsia="en-US"/>
        </w:rPr>
        <w:t xml:space="preserve"> Daher beantragen wir </w:t>
      </w:r>
      <w:r w:rsidR="00D2275A" w:rsidRPr="00D2275A">
        <w:rPr>
          <w:rFonts w:ascii="Arial" w:eastAsia="Calibri" w:hAnsi="Arial" w:cs="Arial"/>
          <w:sz w:val="22"/>
          <w:szCs w:val="22"/>
          <w:lang w:eastAsia="en-US"/>
        </w:rPr>
        <w:t>die Änderung zu Cannabis und Cannabisextrakt in der oben genannten</w:t>
      </w:r>
      <w:r w:rsidR="00D97EDE" w:rsidRPr="00D2275A">
        <w:rPr>
          <w:rFonts w:ascii="Arial" w:eastAsia="Calibri" w:hAnsi="Arial" w:cs="Arial"/>
          <w:sz w:val="22"/>
          <w:szCs w:val="22"/>
          <w:lang w:eastAsia="en-US"/>
        </w:rPr>
        <w:t xml:space="preserve"> Form</w:t>
      </w:r>
      <w:r w:rsidR="00D2275A" w:rsidRPr="00D2275A">
        <w:rPr>
          <w:rFonts w:ascii="Arial" w:eastAsia="Calibri" w:hAnsi="Arial" w:cs="Arial"/>
          <w:sz w:val="22"/>
          <w:szCs w:val="22"/>
          <w:lang w:eastAsia="en-US"/>
        </w:rPr>
        <w:t>.</w:t>
      </w:r>
    </w:p>
    <w:p w:rsidR="00CA7C90" w:rsidRDefault="00CA7C90" w:rsidP="004135BD">
      <w:pPr>
        <w:spacing w:after="200" w:line="360" w:lineRule="exact"/>
        <w:rPr>
          <w:rFonts w:ascii="Arial" w:hAnsi="Arial" w:cs="Arial"/>
          <w:sz w:val="22"/>
          <w:szCs w:val="22"/>
        </w:rPr>
      </w:pPr>
    </w:p>
    <w:p w:rsidR="00D2275A" w:rsidRDefault="00D2275A" w:rsidP="00D2275A">
      <w:pPr>
        <w:spacing w:line="360" w:lineRule="exact"/>
        <w:rPr>
          <w:rFonts w:ascii="Arial" w:hAnsi="Arial" w:cs="Arial"/>
          <w:sz w:val="22"/>
          <w:szCs w:val="22"/>
        </w:rPr>
      </w:pPr>
    </w:p>
    <w:p w:rsidR="00D2275A" w:rsidRDefault="00D2275A" w:rsidP="00D2275A">
      <w:pPr>
        <w:spacing w:line="360" w:lineRule="exact"/>
        <w:rPr>
          <w:rFonts w:ascii="Arial" w:hAnsi="Arial" w:cs="Arial"/>
          <w:sz w:val="22"/>
          <w:szCs w:val="22"/>
        </w:rPr>
      </w:pPr>
    </w:p>
    <w:p w:rsidR="00D2275A" w:rsidRPr="00D2275A" w:rsidRDefault="00D2275A" w:rsidP="00D2275A">
      <w:pPr>
        <w:spacing w:line="360" w:lineRule="exact"/>
        <w:rPr>
          <w:rFonts w:ascii="Arial" w:hAnsi="Arial" w:cs="Arial"/>
        </w:rPr>
      </w:pPr>
      <w:r>
        <w:rPr>
          <w:rFonts w:ascii="Arial" w:hAnsi="Arial" w:cs="Arial"/>
          <w:sz w:val="22"/>
          <w:szCs w:val="22"/>
        </w:rPr>
        <w:tab/>
      </w:r>
      <w:r w:rsidRPr="00D2275A">
        <w:rPr>
          <w:rFonts w:ascii="Arial" w:hAnsi="Arial" w:cs="Arial"/>
        </w:rPr>
        <w:t>Christian Steup (BTM-Verantwortlicher)</w:t>
      </w:r>
    </w:p>
    <w:sectPr w:rsidR="00D2275A" w:rsidRPr="00D2275A" w:rsidSect="00EB70D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DE" w:rsidRDefault="00D97EDE" w:rsidP="009562B0">
      <w:r>
        <w:separator/>
      </w:r>
    </w:p>
  </w:endnote>
  <w:endnote w:type="continuationSeparator" w:id="0">
    <w:p w:rsidR="00D97EDE" w:rsidRDefault="00D97EDE" w:rsidP="00956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uhaus Hv BT">
    <w:panose1 w:val="04030905020B02020C03"/>
    <w:charset w:val="00"/>
    <w:family w:val="decorative"/>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Pr="000A4E15" w:rsidRDefault="00D97EDE" w:rsidP="00EB70D0">
    <w:pPr>
      <w:pStyle w:val="Fuzeile"/>
      <w:ind w:right="-1"/>
      <w:jc w:val="both"/>
      <w:rPr>
        <w:rFonts w:ascii="Arial" w:hAnsi="Arial" w:cs="Arial"/>
        <w:sz w:val="14"/>
        <w:szCs w:val="14"/>
      </w:rPr>
    </w:pPr>
    <w:r w:rsidRPr="000A08FF">
      <w:rPr>
        <w:rFonts w:ascii="Arial" w:hAnsi="Arial" w:cs="Arial"/>
        <w:sz w:val="14"/>
        <w:szCs w:val="14"/>
      </w:rPr>
      <w:t xml:space="preserve">THC Pharm GmbH  The Health Concept </w:t>
    </w:r>
    <w:r w:rsidRPr="00D023B9">
      <w:rPr>
        <w:rFonts w:ascii="Arial" w:hAnsi="Arial" w:cs="Arial"/>
        <w:sz w:val="14"/>
        <w:szCs w:val="14"/>
      </w:rPr>
      <w:t xml:space="preserve"> •  Geschäftsführerin:  Johanna Gerullis  •  Gerichtsstand:  Amtsgericht F</w:t>
    </w:r>
    <w:r>
      <w:rPr>
        <w:rFonts w:ascii="Arial" w:hAnsi="Arial" w:cs="Arial"/>
        <w:sz w:val="14"/>
        <w:szCs w:val="14"/>
      </w:rPr>
      <w:t>rankfurt / Main  HRB: 43658</w:t>
    </w:r>
    <w:r>
      <w:rPr>
        <w:rFonts w:ascii="Arial" w:hAnsi="Arial" w:cs="Arial"/>
        <w:sz w:val="14"/>
        <w:szCs w:val="14"/>
      </w:rPr>
      <w:br/>
    </w:r>
    <w:r w:rsidRPr="00D023B9">
      <w:rPr>
        <w:rFonts w:ascii="Arial" w:hAnsi="Arial" w:cs="Arial"/>
        <w:sz w:val="14"/>
        <w:szCs w:val="14"/>
      </w:rPr>
      <w:t>DE 180612713</w:t>
    </w:r>
    <w:r>
      <w:rPr>
        <w:rFonts w:ascii="Arial" w:hAnsi="Arial" w:cs="Arial"/>
        <w:sz w:val="14"/>
        <w:szCs w:val="14"/>
      </w:rPr>
      <w:t xml:space="preserve"> • </w:t>
    </w:r>
    <w:r w:rsidRPr="00D023B9">
      <w:rPr>
        <w:rFonts w:ascii="Arial" w:hAnsi="Arial" w:cs="Arial"/>
        <w:sz w:val="14"/>
        <w:szCs w:val="14"/>
      </w:rPr>
      <w:t>Sitz der Gesellschaft:  Offenbacher Landstraße 368 D in 60599 Frankfurt / M</w:t>
    </w:r>
    <w:r>
      <w:rPr>
        <w:rFonts w:ascii="Arial" w:hAnsi="Arial" w:cs="Arial"/>
        <w:sz w:val="14"/>
        <w:szCs w:val="14"/>
      </w:rPr>
      <w:t xml:space="preserve">ain  •  Telefon:  069/638 099-0 </w:t>
    </w:r>
    <w:r w:rsidRPr="00D023B9">
      <w:rPr>
        <w:rFonts w:ascii="Arial" w:hAnsi="Arial" w:cs="Arial"/>
        <w:sz w:val="14"/>
        <w:szCs w:val="14"/>
      </w:rPr>
      <w:t xml:space="preserve"> •  Bankverbindung:  Deutsche </w:t>
    </w:r>
    <w:r>
      <w:rPr>
        <w:rFonts w:ascii="Arial" w:hAnsi="Arial" w:cs="Arial"/>
        <w:sz w:val="14"/>
        <w:szCs w:val="14"/>
      </w:rPr>
      <w:br/>
    </w:r>
    <w:r w:rsidRPr="00D023B9">
      <w:rPr>
        <w:rFonts w:ascii="Arial" w:hAnsi="Arial" w:cs="Arial"/>
        <w:sz w:val="14"/>
        <w:szCs w:val="14"/>
      </w:rPr>
      <w:t>Apotheker- und Ärztebank eG  •  BLZ: 300 606 01  •  K</w:t>
    </w:r>
    <w:r>
      <w:rPr>
        <w:rFonts w:ascii="Arial" w:hAnsi="Arial" w:cs="Arial"/>
        <w:sz w:val="14"/>
        <w:szCs w:val="14"/>
      </w:rPr>
      <w:t>on</w:t>
    </w:r>
    <w:r w:rsidRPr="00D023B9">
      <w:rPr>
        <w:rFonts w:ascii="Arial" w:hAnsi="Arial" w:cs="Arial"/>
        <w:sz w:val="14"/>
        <w:szCs w:val="14"/>
      </w:rPr>
      <w:t>to-Nr.: 000 423 74 71</w:t>
    </w:r>
    <w:r>
      <w:rPr>
        <w:rFonts w:ascii="Arial" w:hAnsi="Arial" w:cs="Arial"/>
        <w:sz w:val="14"/>
        <w:szCs w:val="14"/>
      </w:rPr>
      <w:t xml:space="preserve"> </w:t>
    </w:r>
    <w:r w:rsidRPr="00D023B9">
      <w:rPr>
        <w:rFonts w:ascii="Arial" w:hAnsi="Arial" w:cs="Arial"/>
        <w:sz w:val="14"/>
        <w:szCs w:val="14"/>
      </w:rPr>
      <w:t xml:space="preserve"> •  </w:t>
    </w:r>
    <w:r>
      <w:rPr>
        <w:rFonts w:ascii="Arial" w:hAnsi="Arial" w:cs="Arial"/>
        <w:sz w:val="14"/>
        <w:szCs w:val="14"/>
      </w:rPr>
      <w:t xml:space="preserve">Commerzbank </w:t>
    </w:r>
    <w:r w:rsidRPr="00D023B9">
      <w:rPr>
        <w:rFonts w:ascii="Arial" w:hAnsi="Arial" w:cs="Arial"/>
        <w:sz w:val="14"/>
        <w:szCs w:val="14"/>
      </w:rPr>
      <w:t xml:space="preserve"> • </w:t>
    </w:r>
    <w:r>
      <w:rPr>
        <w:rFonts w:ascii="Arial" w:hAnsi="Arial" w:cs="Arial"/>
        <w:sz w:val="14"/>
        <w:szCs w:val="14"/>
      </w:rPr>
      <w:t xml:space="preserve"> BLZ</w:t>
    </w:r>
    <w:r w:rsidRPr="00D023B9">
      <w:rPr>
        <w:rFonts w:ascii="Arial" w:hAnsi="Arial" w:cs="Arial"/>
        <w:sz w:val="14"/>
        <w:szCs w:val="14"/>
      </w:rPr>
      <w:t xml:space="preserve"> </w:t>
    </w:r>
    <w:r>
      <w:rPr>
        <w:rFonts w:ascii="Arial" w:hAnsi="Arial" w:cs="Arial"/>
        <w:sz w:val="14"/>
        <w:szCs w:val="14"/>
      </w:rPr>
      <w:t xml:space="preserve">500 400 00 </w:t>
    </w:r>
    <w:r w:rsidRPr="00D023B9">
      <w:rPr>
        <w:rFonts w:ascii="Arial" w:hAnsi="Arial" w:cs="Arial"/>
        <w:sz w:val="14"/>
        <w:szCs w:val="14"/>
      </w:rPr>
      <w:t xml:space="preserve"> •  </w:t>
    </w:r>
    <w:r>
      <w:rPr>
        <w:rFonts w:ascii="Arial" w:hAnsi="Arial" w:cs="Arial"/>
        <w:sz w:val="14"/>
        <w:szCs w:val="14"/>
      </w:rPr>
      <w:t>Konto-Nr. 586 070 500</w:t>
    </w:r>
    <w:r>
      <w:rPr>
        <w:rFonts w:ascii="Arial" w:hAnsi="Arial" w:cs="Arial"/>
        <w:sz w:val="14"/>
        <w:szCs w:val="14"/>
      </w:rPr>
      <w:br/>
    </w:r>
  </w:p>
  <w:p w:rsidR="00D97EDE" w:rsidRPr="00D023B9" w:rsidRDefault="00D97EDE" w:rsidP="00EB70D0">
    <w:pPr>
      <w:pStyle w:val="Seitennummer"/>
      <w:tabs>
        <w:tab w:val="center" w:pos="4678"/>
        <w:tab w:val="right" w:pos="9639"/>
      </w:tabs>
      <w:jc w:val="left"/>
      <w:rPr>
        <w:sz w:val="14"/>
        <w:szCs w:val="14"/>
      </w:rPr>
    </w:pPr>
    <w:r w:rsidRPr="00D023B9">
      <w:rPr>
        <w:sz w:val="14"/>
        <w:szCs w:val="14"/>
      </w:rPr>
      <w:tab/>
      <w:t xml:space="preserve">Seite </w:t>
    </w:r>
    <w:r w:rsidRPr="00D023B9">
      <w:rPr>
        <w:sz w:val="14"/>
        <w:szCs w:val="14"/>
      </w:rPr>
      <w:fldChar w:fldCharType="begin"/>
    </w:r>
    <w:r w:rsidRPr="00D023B9">
      <w:rPr>
        <w:sz w:val="14"/>
        <w:szCs w:val="14"/>
      </w:rPr>
      <w:instrText xml:space="preserve"> PAGE  \* Arabic  \* MERGEFORMAT </w:instrText>
    </w:r>
    <w:r w:rsidRPr="00D023B9">
      <w:rPr>
        <w:sz w:val="14"/>
        <w:szCs w:val="14"/>
      </w:rPr>
      <w:fldChar w:fldCharType="separate"/>
    </w:r>
    <w:r w:rsidR="00D2275A">
      <w:rPr>
        <w:noProof/>
        <w:sz w:val="14"/>
        <w:szCs w:val="14"/>
      </w:rPr>
      <w:t>4</w:t>
    </w:r>
    <w:r w:rsidRPr="00D023B9">
      <w:rPr>
        <w:sz w:val="14"/>
        <w:szCs w:val="14"/>
      </w:rPr>
      <w:fldChar w:fldCharType="end"/>
    </w:r>
    <w:r w:rsidRPr="00D023B9">
      <w:rPr>
        <w:sz w:val="14"/>
        <w:szCs w:val="14"/>
      </w:rPr>
      <w:t xml:space="preserve"> von </w:t>
    </w:r>
    <w:fldSimple w:instr=" NUMPAGES  \* Arabic  \* MERGEFORMAT ">
      <w:r w:rsidR="00D2275A" w:rsidRPr="00D2275A">
        <w:rPr>
          <w:noProof/>
          <w:sz w:val="14"/>
          <w:szCs w:val="14"/>
        </w:rPr>
        <w:t>4</w:t>
      </w:r>
    </w:fldSimple>
    <w:r w:rsidRPr="00D023B9">
      <w:rPr>
        <w:sz w:val="14"/>
        <w:szCs w:val="14"/>
      </w:rPr>
      <w:tab/>
    </w:r>
    <w:r>
      <w:rPr>
        <w:sz w:val="14"/>
        <w:szCs w:val="14"/>
      </w:rPr>
      <w:t xml:space="preserve">                                  </w:t>
    </w:r>
    <w:r w:rsidRPr="00D023B9">
      <w:rPr>
        <w:rStyle w:val="Version"/>
        <w:sz w:val="14"/>
        <w:szCs w:val="14"/>
        <w:lang w:val="de-DE"/>
      </w:rPr>
      <w:t>V01 – November 2010</w:t>
    </w:r>
  </w:p>
  <w:p w:rsidR="00D97EDE" w:rsidRPr="00D023B9" w:rsidRDefault="00D97EDE" w:rsidP="00EB70D0">
    <w:pPr>
      <w:pStyle w:val="Fuzeile"/>
      <w:rPr>
        <w:rFonts w:ascii="Arial" w:hAnsi="Arial" w:cs="Arial"/>
        <w:sz w:val="14"/>
        <w:szCs w:val="14"/>
      </w:rPr>
    </w:pPr>
  </w:p>
  <w:p w:rsidR="00D97EDE" w:rsidRDefault="00D97ED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Pr="00C95B56" w:rsidRDefault="00D97EDE" w:rsidP="002C32A6">
    <w:pPr>
      <w:pStyle w:val="Fuzeile"/>
      <w:ind w:left="-142" w:right="-1"/>
      <w:jc w:val="both"/>
      <w:rPr>
        <w:rFonts w:ascii="Arial" w:hAnsi="Arial" w:cs="Arial"/>
        <w:color w:val="7F7F7F"/>
        <w:sz w:val="14"/>
        <w:szCs w:val="14"/>
      </w:rPr>
    </w:pPr>
    <w:r>
      <w:rPr>
        <w:rFonts w:ascii="Arial" w:hAnsi="Arial" w:cs="Arial"/>
        <w:color w:val="7F7F7F"/>
        <w:sz w:val="14"/>
        <w:szCs w:val="14"/>
      </w:rPr>
      <w:t xml:space="preserve">THC Pharm GmbH The Health Concept • </w:t>
    </w:r>
    <w:r w:rsidRPr="00C95B56">
      <w:rPr>
        <w:rFonts w:ascii="Arial" w:hAnsi="Arial" w:cs="Arial"/>
        <w:color w:val="7F7F7F"/>
        <w:sz w:val="14"/>
        <w:szCs w:val="14"/>
      </w:rPr>
      <w:t>Geschäftsführ</w:t>
    </w:r>
    <w:r>
      <w:rPr>
        <w:rFonts w:ascii="Arial" w:hAnsi="Arial" w:cs="Arial"/>
        <w:color w:val="7F7F7F"/>
        <w:sz w:val="14"/>
        <w:szCs w:val="14"/>
      </w:rPr>
      <w:t xml:space="preserve">erin: Johanna Gerullis • Gerichtsstand: </w:t>
    </w:r>
    <w:r w:rsidRPr="00C95B56">
      <w:rPr>
        <w:rFonts w:ascii="Arial" w:hAnsi="Arial" w:cs="Arial"/>
        <w:color w:val="7F7F7F"/>
        <w:sz w:val="14"/>
        <w:szCs w:val="14"/>
      </w:rPr>
      <w:t>Amtsgericht F</w:t>
    </w:r>
    <w:r>
      <w:rPr>
        <w:rFonts w:ascii="Arial" w:hAnsi="Arial" w:cs="Arial"/>
        <w:color w:val="7F7F7F"/>
        <w:sz w:val="14"/>
        <w:szCs w:val="14"/>
      </w:rPr>
      <w:t>rankfurt/Main HRB: 43658</w:t>
    </w:r>
    <w:r w:rsidRPr="00C95B56">
      <w:rPr>
        <w:rFonts w:ascii="Arial" w:hAnsi="Arial" w:cs="Arial"/>
        <w:color w:val="7F7F7F"/>
        <w:sz w:val="14"/>
        <w:szCs w:val="14"/>
      </w:rPr>
      <w:t xml:space="preserve"> • </w:t>
    </w:r>
    <w:r>
      <w:rPr>
        <w:rFonts w:ascii="Arial" w:hAnsi="Arial" w:cs="Arial"/>
        <w:color w:val="7F7F7F"/>
        <w:sz w:val="14"/>
        <w:szCs w:val="14"/>
      </w:rPr>
      <w:t>USt-Nr.</w:t>
    </w:r>
    <w:r>
      <w:rPr>
        <w:rFonts w:ascii="Arial" w:hAnsi="Arial" w:cs="Arial"/>
        <w:color w:val="7F7F7F"/>
        <w:sz w:val="14"/>
        <w:szCs w:val="14"/>
      </w:rPr>
      <w:br/>
    </w:r>
    <w:r w:rsidRPr="00C95B56">
      <w:rPr>
        <w:rFonts w:ascii="Arial" w:hAnsi="Arial" w:cs="Arial"/>
        <w:color w:val="7F7F7F"/>
        <w:sz w:val="14"/>
        <w:szCs w:val="14"/>
      </w:rPr>
      <w:t xml:space="preserve">DE 180612713 • </w:t>
    </w:r>
    <w:r>
      <w:rPr>
        <w:rFonts w:ascii="Arial" w:hAnsi="Arial" w:cs="Arial"/>
        <w:color w:val="7F7F7F"/>
        <w:sz w:val="14"/>
        <w:szCs w:val="14"/>
      </w:rPr>
      <w:t>Sitz der Gesellschaft:</w:t>
    </w:r>
    <w:r w:rsidRPr="00C95B56">
      <w:rPr>
        <w:rFonts w:ascii="Arial" w:hAnsi="Arial" w:cs="Arial"/>
        <w:color w:val="7F7F7F"/>
        <w:sz w:val="14"/>
        <w:szCs w:val="14"/>
      </w:rPr>
      <w:t xml:space="preserve"> Offenbacher Landst</w:t>
    </w:r>
    <w:r>
      <w:rPr>
        <w:rFonts w:ascii="Arial" w:hAnsi="Arial" w:cs="Arial"/>
        <w:color w:val="7F7F7F"/>
        <w:sz w:val="14"/>
        <w:szCs w:val="14"/>
      </w:rPr>
      <w:t>raße 368 D in 60599 Frankfurt/</w:t>
    </w:r>
    <w:r w:rsidRPr="00C95B56">
      <w:rPr>
        <w:rFonts w:ascii="Arial" w:hAnsi="Arial" w:cs="Arial"/>
        <w:color w:val="7F7F7F"/>
        <w:sz w:val="14"/>
        <w:szCs w:val="14"/>
      </w:rPr>
      <w:t>M</w:t>
    </w:r>
    <w:r>
      <w:rPr>
        <w:rFonts w:ascii="Arial" w:hAnsi="Arial" w:cs="Arial"/>
        <w:color w:val="7F7F7F"/>
        <w:sz w:val="14"/>
        <w:szCs w:val="14"/>
      </w:rPr>
      <w:t>ain • Telefon: 069 / 63 80 99 - 0</w:t>
    </w:r>
    <w:r w:rsidRPr="00C95B56">
      <w:rPr>
        <w:rFonts w:ascii="Arial" w:hAnsi="Arial" w:cs="Arial"/>
        <w:color w:val="7F7F7F"/>
        <w:sz w:val="14"/>
        <w:szCs w:val="14"/>
      </w:rPr>
      <w:t xml:space="preserve"> • </w:t>
    </w:r>
    <w:r>
      <w:rPr>
        <w:rFonts w:ascii="Arial" w:hAnsi="Arial" w:cs="Arial"/>
        <w:color w:val="7F7F7F"/>
        <w:sz w:val="14"/>
        <w:szCs w:val="14"/>
      </w:rPr>
      <w:t xml:space="preserve">Analytisches </w:t>
    </w:r>
    <w:r>
      <w:rPr>
        <w:rFonts w:ascii="Arial" w:hAnsi="Arial" w:cs="Arial"/>
        <w:color w:val="7F7F7F"/>
        <w:sz w:val="14"/>
        <w:szCs w:val="14"/>
      </w:rPr>
      <w:br/>
      <w:t xml:space="preserve">Labor: </w:t>
    </w:r>
    <w:r w:rsidRPr="00EB39C6">
      <w:rPr>
        <w:rFonts w:ascii="Arial" w:hAnsi="Arial" w:cs="Arial"/>
        <w:color w:val="7F7F7F"/>
        <w:sz w:val="14"/>
        <w:szCs w:val="14"/>
      </w:rPr>
      <w:t>Offenbacher Landstraße 335 H</w:t>
    </w:r>
    <w:r>
      <w:rPr>
        <w:rFonts w:ascii="Arial" w:hAnsi="Arial" w:cs="Arial"/>
        <w:color w:val="7F7F7F"/>
        <w:sz w:val="14"/>
        <w:szCs w:val="14"/>
      </w:rPr>
      <w:t xml:space="preserve">H in 60599 Frankfurt/Main • Bankverbindungen: </w:t>
    </w:r>
    <w:r w:rsidRPr="00C95B56">
      <w:rPr>
        <w:rFonts w:ascii="Arial" w:hAnsi="Arial" w:cs="Arial"/>
        <w:color w:val="7F7F7F"/>
        <w:sz w:val="14"/>
        <w:szCs w:val="14"/>
      </w:rPr>
      <w:t>Deutsche Apotheker- und Ärz</w:t>
    </w:r>
    <w:r>
      <w:rPr>
        <w:rFonts w:ascii="Arial" w:hAnsi="Arial" w:cs="Arial"/>
        <w:color w:val="7F7F7F"/>
        <w:sz w:val="14"/>
        <w:szCs w:val="14"/>
      </w:rPr>
      <w:t>tebank eG • BLZ: 300 606 01</w:t>
    </w:r>
    <w:r>
      <w:rPr>
        <w:rFonts w:ascii="Arial" w:hAnsi="Arial" w:cs="Arial"/>
        <w:color w:val="7F7F7F"/>
        <w:sz w:val="14"/>
        <w:szCs w:val="14"/>
      </w:rPr>
      <w:br/>
      <w:t>Konto-Nr.</w:t>
    </w:r>
    <w:r w:rsidRPr="00C95B56">
      <w:rPr>
        <w:rFonts w:ascii="Arial" w:hAnsi="Arial" w:cs="Arial"/>
        <w:color w:val="7F7F7F"/>
        <w:sz w:val="14"/>
        <w:szCs w:val="14"/>
      </w:rPr>
      <w:t xml:space="preserve"> 000 423 74 71</w:t>
    </w:r>
    <w:r>
      <w:rPr>
        <w:rFonts w:ascii="Arial" w:hAnsi="Arial" w:cs="Arial"/>
        <w:color w:val="7F7F7F"/>
        <w:sz w:val="14"/>
        <w:szCs w:val="14"/>
      </w:rPr>
      <w:t xml:space="preserve"> • Commerzbank</w:t>
    </w:r>
    <w:r w:rsidRPr="00C95B56">
      <w:rPr>
        <w:rFonts w:ascii="Arial" w:hAnsi="Arial" w:cs="Arial"/>
        <w:color w:val="7F7F7F"/>
        <w:sz w:val="14"/>
        <w:szCs w:val="14"/>
      </w:rPr>
      <w:t xml:space="preserve"> • BLZ 500 400 00 </w:t>
    </w:r>
    <w:r>
      <w:rPr>
        <w:rFonts w:ascii="Arial" w:hAnsi="Arial" w:cs="Arial"/>
        <w:color w:val="7F7F7F"/>
        <w:sz w:val="14"/>
        <w:szCs w:val="14"/>
      </w:rPr>
      <w:t>•</w:t>
    </w:r>
    <w:r w:rsidRPr="00C95B56">
      <w:rPr>
        <w:rFonts w:ascii="Arial" w:hAnsi="Arial" w:cs="Arial"/>
        <w:color w:val="7F7F7F"/>
        <w:sz w:val="14"/>
        <w:szCs w:val="14"/>
      </w:rPr>
      <w:t xml:space="preserve"> Konto-Nr. 586 070 500 •</w:t>
    </w:r>
    <w:r>
      <w:rPr>
        <w:rFonts w:ascii="Arial" w:hAnsi="Arial" w:cs="Arial"/>
        <w:color w:val="7F7F7F"/>
        <w:sz w:val="14"/>
        <w:szCs w:val="14"/>
      </w:rPr>
      <w:t xml:space="preserve"> Frankfurter Sparkasse </w:t>
    </w:r>
    <w:r w:rsidRPr="00C95B56">
      <w:rPr>
        <w:rFonts w:ascii="Arial" w:hAnsi="Arial" w:cs="Arial"/>
        <w:color w:val="7F7F7F"/>
        <w:sz w:val="14"/>
        <w:szCs w:val="14"/>
      </w:rPr>
      <w:t>•</w:t>
    </w:r>
    <w:r>
      <w:rPr>
        <w:rFonts w:ascii="Arial" w:hAnsi="Arial" w:cs="Arial"/>
        <w:color w:val="7F7F7F"/>
        <w:sz w:val="14"/>
        <w:szCs w:val="14"/>
      </w:rPr>
      <w:t xml:space="preserve"> BLZ 500 502 01</w:t>
    </w:r>
    <w:r w:rsidRPr="00C95B56">
      <w:rPr>
        <w:rFonts w:ascii="Arial" w:hAnsi="Arial" w:cs="Arial"/>
        <w:color w:val="7F7F7F"/>
        <w:sz w:val="14"/>
        <w:szCs w:val="14"/>
      </w:rPr>
      <w:t xml:space="preserve"> •</w:t>
    </w:r>
    <w:r>
      <w:rPr>
        <w:rFonts w:ascii="Arial" w:hAnsi="Arial" w:cs="Arial"/>
        <w:color w:val="7F7F7F"/>
        <w:sz w:val="14"/>
        <w:szCs w:val="14"/>
      </w:rPr>
      <w:t xml:space="preserve"> Konto-Nr. 200 351 532</w:t>
    </w:r>
    <w:r w:rsidRPr="00C95B56">
      <w:rPr>
        <w:rFonts w:ascii="Arial" w:hAnsi="Arial" w:cs="Arial"/>
        <w:color w:val="7F7F7F"/>
        <w:sz w:val="14"/>
        <w:szCs w:val="14"/>
      </w:rPr>
      <w:br/>
    </w:r>
  </w:p>
  <w:p w:rsidR="00D97EDE" w:rsidRPr="00C95B56" w:rsidRDefault="00D97EDE" w:rsidP="002C32A6">
    <w:pPr>
      <w:pStyle w:val="Seitennummer"/>
      <w:tabs>
        <w:tab w:val="center" w:pos="4678"/>
        <w:tab w:val="right" w:pos="9639"/>
      </w:tabs>
      <w:jc w:val="left"/>
      <w:rPr>
        <w:color w:val="7F7F7F"/>
        <w:sz w:val="14"/>
        <w:szCs w:val="14"/>
      </w:rPr>
    </w:pPr>
    <w:r w:rsidRPr="00C95B56">
      <w:rPr>
        <w:color w:val="7F7F7F"/>
        <w:sz w:val="14"/>
        <w:szCs w:val="14"/>
      </w:rPr>
      <w:tab/>
      <w:t xml:space="preserve">Seite </w:t>
    </w:r>
    <w:r w:rsidRPr="00C95B56">
      <w:rPr>
        <w:color w:val="7F7F7F"/>
        <w:sz w:val="14"/>
        <w:szCs w:val="14"/>
      </w:rPr>
      <w:fldChar w:fldCharType="begin"/>
    </w:r>
    <w:r w:rsidRPr="00C95B56">
      <w:rPr>
        <w:color w:val="7F7F7F"/>
        <w:sz w:val="14"/>
        <w:szCs w:val="14"/>
      </w:rPr>
      <w:instrText xml:space="preserve"> PAGE  \* Arabic  \* MERGEFORMAT </w:instrText>
    </w:r>
    <w:r w:rsidRPr="00C95B56">
      <w:rPr>
        <w:color w:val="7F7F7F"/>
        <w:sz w:val="14"/>
        <w:szCs w:val="14"/>
      </w:rPr>
      <w:fldChar w:fldCharType="separate"/>
    </w:r>
    <w:r w:rsidR="00D2275A">
      <w:rPr>
        <w:noProof/>
        <w:color w:val="7F7F7F"/>
        <w:sz w:val="14"/>
        <w:szCs w:val="14"/>
      </w:rPr>
      <w:t>3</w:t>
    </w:r>
    <w:r w:rsidRPr="00C95B56">
      <w:rPr>
        <w:color w:val="7F7F7F"/>
        <w:sz w:val="14"/>
        <w:szCs w:val="14"/>
      </w:rPr>
      <w:fldChar w:fldCharType="end"/>
    </w:r>
    <w:r w:rsidRPr="00C95B56">
      <w:rPr>
        <w:color w:val="7F7F7F"/>
        <w:sz w:val="14"/>
        <w:szCs w:val="14"/>
      </w:rPr>
      <w:t xml:space="preserve"> von </w:t>
    </w:r>
    <w:fldSimple w:instr=" NUMPAGES  \* Arabic  \* MERGEFORMAT ">
      <w:r w:rsidR="00D2275A" w:rsidRPr="00D2275A">
        <w:rPr>
          <w:noProof/>
          <w:color w:val="7F7F7F"/>
          <w:sz w:val="14"/>
          <w:szCs w:val="14"/>
        </w:rPr>
        <w:t>4</w:t>
      </w:r>
    </w:fldSimple>
    <w:r w:rsidRPr="00C95B56">
      <w:rPr>
        <w:color w:val="7F7F7F"/>
        <w:sz w:val="14"/>
        <w:szCs w:val="14"/>
      </w:rPr>
      <w:tab/>
      <w:t xml:space="preserve">                                  </w:t>
    </w:r>
    <w:r w:rsidRPr="00C95B56">
      <w:rPr>
        <w:rStyle w:val="Version"/>
        <w:color w:val="7F7F7F"/>
        <w:sz w:val="14"/>
        <w:szCs w:val="14"/>
        <w:lang w:val="de-DE"/>
      </w:rPr>
      <w:t>11/2010</w:t>
    </w:r>
  </w:p>
  <w:p w:rsidR="00D97EDE" w:rsidRPr="00D023B9" w:rsidRDefault="00D97EDE" w:rsidP="002C32A6">
    <w:pPr>
      <w:pStyle w:val="Fuzeile"/>
      <w:jc w:val="right"/>
      <w:rPr>
        <w:rFonts w:ascii="Arial" w:hAnsi="Arial" w:cs="Arial"/>
        <w:sz w:val="14"/>
        <w:szCs w:val="14"/>
      </w:rPr>
    </w:pPr>
  </w:p>
  <w:p w:rsidR="00D97EDE" w:rsidRPr="003336AE" w:rsidRDefault="00D97EDE">
    <w:pPr>
      <w:pStyle w:val="Fuzeile"/>
      <w:rPr>
        <w:rFonts w:ascii="Arial" w:hAnsi="Arial" w:cs="Arial"/>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Default="00D97ED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DE" w:rsidRDefault="00D97EDE" w:rsidP="009562B0">
      <w:r>
        <w:separator/>
      </w:r>
    </w:p>
  </w:footnote>
  <w:footnote w:type="continuationSeparator" w:id="0">
    <w:p w:rsidR="00D97EDE" w:rsidRDefault="00D97EDE" w:rsidP="00956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Default="00D2275A" w:rsidP="00EB70D0">
    <w:pPr>
      <w:pStyle w:val="Kopfzeile"/>
      <w:tabs>
        <w:tab w:val="clear" w:pos="4536"/>
        <w:tab w:val="clear" w:pos="9072"/>
        <w:tab w:val="left" w:pos="8745"/>
      </w:tabs>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-50165</wp:posOffset>
          </wp:positionV>
          <wp:extent cx="1285875" cy="581025"/>
          <wp:effectExtent l="19050" t="0" r="9525" b="0"/>
          <wp:wrapNone/>
          <wp:docPr id="2" name="Bild 1" descr="LOGO 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ur"/>
                  <pic:cNvPicPr>
                    <a:picLocks noChangeAspect="1" noChangeArrowheads="1"/>
                  </pic:cNvPicPr>
                </pic:nvPicPr>
                <pic:blipFill>
                  <a:blip r:embed="rId1"/>
                  <a:srcRect/>
                  <a:stretch>
                    <a:fillRect/>
                  </a:stretch>
                </pic:blipFill>
                <pic:spPr bwMode="auto">
                  <a:xfrm>
                    <a:off x="0" y="0"/>
                    <a:ext cx="1285875" cy="581025"/>
                  </a:xfrm>
                  <a:prstGeom prst="rect">
                    <a:avLst/>
                  </a:prstGeom>
                  <a:noFill/>
                </pic:spPr>
              </pic:pic>
            </a:graphicData>
          </a:graphic>
        </wp:anchor>
      </w:drawing>
    </w:r>
    <w:r w:rsidR="00D97EDE">
      <w:tab/>
    </w:r>
  </w:p>
  <w:tbl>
    <w:tblPr>
      <w:tblpPr w:leftFromText="141" w:rightFromText="141" w:vertAnchor="text" w:horzAnchor="margin" w:tblpXSpec="right" w:tblpY="2"/>
      <w:tblW w:w="0" w:type="auto"/>
      <w:tblLook w:val="04A0"/>
    </w:tblPr>
    <w:tblGrid>
      <w:gridCol w:w="2802"/>
    </w:tblGrid>
    <w:tr w:rsidR="00D97EDE" w:rsidRPr="009562B0" w:rsidTr="00FF1FAA">
      <w:trPr>
        <w:trHeight w:val="249"/>
      </w:trPr>
      <w:tc>
        <w:tcPr>
          <w:tcW w:w="2802" w:type="dxa"/>
          <w:hideMark/>
        </w:tcPr>
        <w:p w:rsidR="00D97EDE" w:rsidRPr="009562B0" w:rsidRDefault="00D97EDE" w:rsidP="00FF1FAA">
          <w:pPr>
            <w:autoSpaceDE w:val="0"/>
            <w:autoSpaceDN w:val="0"/>
            <w:adjustRightInd w:val="0"/>
            <w:jc w:val="right"/>
            <w:rPr>
              <w:rFonts w:ascii="Arial" w:hAnsi="Arial" w:cs="Arial"/>
              <w:sz w:val="16"/>
              <w:szCs w:val="16"/>
            </w:rPr>
          </w:pPr>
        </w:p>
      </w:tc>
    </w:tr>
    <w:tr w:rsidR="00D97EDE" w:rsidRPr="009562B0" w:rsidTr="00FF1FAA">
      <w:trPr>
        <w:trHeight w:val="249"/>
      </w:trPr>
      <w:tc>
        <w:tcPr>
          <w:tcW w:w="2802" w:type="dxa"/>
          <w:hideMark/>
        </w:tcPr>
        <w:p w:rsidR="00D97EDE" w:rsidRDefault="00D97EDE" w:rsidP="00FF1FAA">
          <w:pPr>
            <w:tabs>
              <w:tab w:val="center" w:pos="4536"/>
              <w:tab w:val="right" w:pos="9072"/>
            </w:tabs>
            <w:jc w:val="right"/>
            <w:rPr>
              <w:rFonts w:ascii="Bauhaus Hv BT" w:hAnsi="Bauhaus Hv BT"/>
              <w:color w:val="404040"/>
              <w:sz w:val="28"/>
              <w:szCs w:val="28"/>
            </w:rPr>
          </w:pPr>
        </w:p>
        <w:p w:rsidR="00D97EDE" w:rsidRPr="009562B0" w:rsidRDefault="00D97EDE" w:rsidP="00FF1FAA">
          <w:pPr>
            <w:tabs>
              <w:tab w:val="center" w:pos="4536"/>
              <w:tab w:val="right" w:pos="9072"/>
            </w:tabs>
            <w:jc w:val="right"/>
            <w:rPr>
              <w:b/>
              <w:sz w:val="72"/>
              <w:szCs w:val="72"/>
            </w:rPr>
          </w:pPr>
          <w:r w:rsidRPr="009562B0">
            <w:rPr>
              <w:rFonts w:ascii="Bauhaus Hv BT" w:hAnsi="Bauhaus Hv BT"/>
              <w:color w:val="404040"/>
              <w:sz w:val="28"/>
              <w:szCs w:val="28"/>
            </w:rPr>
            <w:t>PHARM</w:t>
          </w:r>
        </w:p>
      </w:tc>
    </w:tr>
    <w:tr w:rsidR="00D97EDE" w:rsidRPr="003336AE" w:rsidTr="00FF1FAA">
      <w:trPr>
        <w:trHeight w:val="249"/>
      </w:trPr>
      <w:tc>
        <w:tcPr>
          <w:tcW w:w="2802" w:type="dxa"/>
          <w:hideMark/>
        </w:tcPr>
        <w:p w:rsidR="00D97EDE" w:rsidRPr="009562B0" w:rsidRDefault="00D97EDE" w:rsidP="00FF1FAA">
          <w:pPr>
            <w:autoSpaceDE w:val="0"/>
            <w:autoSpaceDN w:val="0"/>
            <w:adjustRightInd w:val="0"/>
            <w:jc w:val="right"/>
            <w:rPr>
              <w:rFonts w:ascii="Arial" w:hAnsi="Arial" w:cs="Arial"/>
              <w:sz w:val="16"/>
              <w:szCs w:val="16"/>
              <w:lang w:val="en-US"/>
            </w:rPr>
          </w:pPr>
          <w:r w:rsidRPr="009562B0">
            <w:rPr>
              <w:rFonts w:ascii="Arial" w:hAnsi="Arial" w:cs="Arial"/>
              <w:sz w:val="12"/>
              <w:szCs w:val="12"/>
              <w:lang w:val="en-US"/>
            </w:rPr>
            <w:t>THC Pharm GmbH The Health Concept</w:t>
          </w:r>
        </w:p>
      </w:tc>
    </w:tr>
  </w:tbl>
  <w:p w:rsidR="00D97EDE" w:rsidRPr="00EB70D0" w:rsidRDefault="00D97EDE" w:rsidP="00EB70D0">
    <w:pPr>
      <w:pStyle w:val="Kopfzeile"/>
      <w:tabs>
        <w:tab w:val="clear" w:pos="4536"/>
        <w:tab w:val="clear" w:pos="9072"/>
        <w:tab w:val="left" w:pos="8745"/>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right" w:tblpY="2"/>
      <w:tblW w:w="0" w:type="auto"/>
      <w:tblLook w:val="04A0"/>
    </w:tblPr>
    <w:tblGrid>
      <w:gridCol w:w="2802"/>
    </w:tblGrid>
    <w:tr w:rsidR="00D97EDE" w:rsidRPr="009562B0" w:rsidTr="001A1520">
      <w:trPr>
        <w:trHeight w:val="249"/>
      </w:trPr>
      <w:tc>
        <w:tcPr>
          <w:tcW w:w="2802" w:type="dxa"/>
          <w:hideMark/>
        </w:tcPr>
        <w:p w:rsidR="00D97EDE" w:rsidRPr="009562B0" w:rsidRDefault="00D2275A" w:rsidP="001A1520">
          <w:pPr>
            <w:autoSpaceDE w:val="0"/>
            <w:autoSpaceDN w:val="0"/>
            <w:adjustRightInd w:val="0"/>
            <w:jc w:val="right"/>
            <w:rPr>
              <w:rFonts w:ascii="Arial" w:hAnsi="Arial" w:cs="Arial"/>
              <w:sz w:val="16"/>
              <w:szCs w:val="16"/>
            </w:rPr>
          </w:pPr>
          <w:r>
            <w:rPr>
              <w:b/>
              <w:noProof/>
              <w:sz w:val="72"/>
              <w:szCs w:val="72"/>
            </w:rPr>
            <w:drawing>
              <wp:anchor distT="0" distB="0" distL="114300" distR="114300" simplePos="0" relativeHeight="251658240" behindDoc="1" locked="0" layoutInCell="1" allowOverlap="1">
                <wp:simplePos x="0" y="0"/>
                <wp:positionH relativeFrom="column">
                  <wp:posOffset>307340</wp:posOffset>
                </wp:positionH>
                <wp:positionV relativeFrom="paragraph">
                  <wp:posOffset>31750</wp:posOffset>
                </wp:positionV>
                <wp:extent cx="1334770" cy="594995"/>
                <wp:effectExtent l="19050" t="0" r="0" b="0"/>
                <wp:wrapNone/>
                <wp:docPr id="1" name="Bild 1" descr="LOGO 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ur"/>
                        <pic:cNvPicPr>
                          <a:picLocks noChangeAspect="1" noChangeArrowheads="1"/>
                        </pic:cNvPicPr>
                      </pic:nvPicPr>
                      <pic:blipFill>
                        <a:blip r:embed="rId1"/>
                        <a:srcRect/>
                        <a:stretch>
                          <a:fillRect/>
                        </a:stretch>
                      </pic:blipFill>
                      <pic:spPr bwMode="auto">
                        <a:xfrm>
                          <a:off x="0" y="0"/>
                          <a:ext cx="1334770" cy="594995"/>
                        </a:xfrm>
                        <a:prstGeom prst="rect">
                          <a:avLst/>
                        </a:prstGeom>
                        <a:noFill/>
                      </pic:spPr>
                    </pic:pic>
                  </a:graphicData>
                </a:graphic>
              </wp:anchor>
            </w:drawing>
          </w:r>
        </w:p>
      </w:tc>
    </w:tr>
    <w:tr w:rsidR="00D97EDE" w:rsidRPr="009562B0" w:rsidTr="001A1520">
      <w:trPr>
        <w:trHeight w:val="249"/>
      </w:trPr>
      <w:tc>
        <w:tcPr>
          <w:tcW w:w="2802" w:type="dxa"/>
          <w:hideMark/>
        </w:tcPr>
        <w:p w:rsidR="00D97EDE" w:rsidRDefault="00D97EDE" w:rsidP="001A1520">
          <w:pPr>
            <w:tabs>
              <w:tab w:val="center" w:pos="4536"/>
              <w:tab w:val="right" w:pos="9072"/>
            </w:tabs>
            <w:jc w:val="right"/>
            <w:rPr>
              <w:rFonts w:ascii="Bauhaus Hv BT" w:hAnsi="Bauhaus Hv BT"/>
              <w:color w:val="404040"/>
              <w:sz w:val="28"/>
              <w:szCs w:val="28"/>
            </w:rPr>
          </w:pPr>
        </w:p>
        <w:p w:rsidR="00D97EDE" w:rsidRDefault="00D97EDE" w:rsidP="001A1520">
          <w:pPr>
            <w:tabs>
              <w:tab w:val="center" w:pos="4536"/>
              <w:tab w:val="right" w:pos="9072"/>
            </w:tabs>
            <w:jc w:val="right"/>
            <w:rPr>
              <w:rFonts w:ascii="Bauhaus Hv BT" w:hAnsi="Bauhaus Hv BT"/>
              <w:color w:val="404040"/>
              <w:sz w:val="28"/>
              <w:szCs w:val="28"/>
            </w:rPr>
          </w:pPr>
        </w:p>
        <w:p w:rsidR="00D97EDE" w:rsidRPr="009562B0" w:rsidRDefault="00D97EDE" w:rsidP="001A1520">
          <w:pPr>
            <w:tabs>
              <w:tab w:val="center" w:pos="4536"/>
              <w:tab w:val="right" w:pos="9072"/>
            </w:tabs>
            <w:jc w:val="right"/>
            <w:rPr>
              <w:b/>
              <w:sz w:val="72"/>
              <w:szCs w:val="72"/>
            </w:rPr>
          </w:pPr>
          <w:r w:rsidRPr="009562B0">
            <w:rPr>
              <w:rFonts w:ascii="Bauhaus Hv BT" w:hAnsi="Bauhaus Hv BT"/>
              <w:color w:val="404040"/>
              <w:sz w:val="28"/>
              <w:szCs w:val="28"/>
            </w:rPr>
            <w:t>PHARM</w:t>
          </w:r>
        </w:p>
      </w:tc>
    </w:tr>
    <w:tr w:rsidR="00D97EDE" w:rsidRPr="003336AE" w:rsidTr="001A1520">
      <w:trPr>
        <w:trHeight w:val="249"/>
      </w:trPr>
      <w:tc>
        <w:tcPr>
          <w:tcW w:w="2802" w:type="dxa"/>
          <w:hideMark/>
        </w:tcPr>
        <w:p w:rsidR="00D97EDE" w:rsidRPr="007C2E0C" w:rsidRDefault="00D97EDE" w:rsidP="001A1520">
          <w:pPr>
            <w:autoSpaceDE w:val="0"/>
            <w:autoSpaceDN w:val="0"/>
            <w:adjustRightInd w:val="0"/>
            <w:jc w:val="right"/>
            <w:rPr>
              <w:rFonts w:ascii="Arial" w:hAnsi="Arial" w:cs="Arial"/>
              <w:sz w:val="12"/>
              <w:szCs w:val="12"/>
              <w:lang w:val="en-US"/>
            </w:rPr>
          </w:pPr>
          <w:r w:rsidRPr="007C2E0C">
            <w:rPr>
              <w:rFonts w:ascii="Arial" w:hAnsi="Arial" w:cs="Arial"/>
              <w:sz w:val="12"/>
              <w:szCs w:val="12"/>
              <w:lang w:val="en-US"/>
            </w:rPr>
            <w:t>THC Pharm GmbH The Health Concept</w:t>
          </w:r>
        </w:p>
      </w:tc>
    </w:tr>
  </w:tbl>
  <w:p w:rsidR="00D97EDE" w:rsidRPr="001A1520" w:rsidRDefault="00D97EDE" w:rsidP="00BA26C1">
    <w:pPr>
      <w:pStyle w:val="berschrift1"/>
      <w:spacing w:before="120" w:after="0" w:line="240" w:lineRule="auto"/>
      <w:jc w:val="left"/>
      <w:rPr>
        <w:rFonts w:ascii="Century Gothic" w:hAnsi="Century Gothic"/>
        <w:b w:val="0"/>
        <w:color w:val="00B050"/>
        <w:sz w:val="32"/>
        <w:szCs w:val="32"/>
        <w:lang w:val="en-US"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DE" w:rsidRDefault="00D97ED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EBA"/>
    <w:multiLevelType w:val="hybridMultilevel"/>
    <w:tmpl w:val="CA9AEF4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5F1F60"/>
    <w:multiLevelType w:val="hybridMultilevel"/>
    <w:tmpl w:val="990E59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ED85484"/>
    <w:multiLevelType w:val="hybridMultilevel"/>
    <w:tmpl w:val="0A34E4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9640B9"/>
    <w:multiLevelType w:val="hybridMultilevel"/>
    <w:tmpl w:val="2F06791C"/>
    <w:lvl w:ilvl="0" w:tplc="BAE43456">
      <w:numFmt w:val="bullet"/>
      <w:lvlText w:val="-"/>
      <w:lvlJc w:val="left"/>
      <w:pPr>
        <w:ind w:left="1069" w:hanging="360"/>
      </w:pPr>
      <w:rPr>
        <w:rFonts w:ascii="Arial" w:eastAsia="Calibr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51795631"/>
    <w:multiLevelType w:val="hybridMultilevel"/>
    <w:tmpl w:val="89F6312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6EDC3A60"/>
    <w:multiLevelType w:val="hybridMultilevel"/>
    <w:tmpl w:val="C0C4BC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evenAndOddHeaders/>
  <w:drawingGridHorizontalSpacing w:val="100"/>
  <w:displayHorizontalDrawingGridEvery w:val="2"/>
  <w:characterSpacingControl w:val="doNotCompress"/>
  <w:hdrShapeDefaults>
    <o:shapedefaults v:ext="edit" spidmax="28675"/>
  </w:hdrShapeDefaults>
  <w:footnotePr>
    <w:footnote w:id="-1"/>
    <w:footnote w:id="0"/>
  </w:footnotePr>
  <w:endnotePr>
    <w:endnote w:id="-1"/>
    <w:endnote w:id="0"/>
  </w:endnotePr>
  <w:compat/>
  <w:rsids>
    <w:rsidRoot w:val="00EB6FF5"/>
    <w:rsid w:val="000A08FF"/>
    <w:rsid w:val="000A4E15"/>
    <w:rsid w:val="000C5D9C"/>
    <w:rsid w:val="000C687F"/>
    <w:rsid w:val="00114050"/>
    <w:rsid w:val="00123685"/>
    <w:rsid w:val="0017452A"/>
    <w:rsid w:val="001940F9"/>
    <w:rsid w:val="001A1520"/>
    <w:rsid w:val="001C43E9"/>
    <w:rsid w:val="001E6A02"/>
    <w:rsid w:val="001E75E7"/>
    <w:rsid w:val="001F2862"/>
    <w:rsid w:val="00215561"/>
    <w:rsid w:val="00245248"/>
    <w:rsid w:val="00245289"/>
    <w:rsid w:val="002538F7"/>
    <w:rsid w:val="00266A00"/>
    <w:rsid w:val="002761B3"/>
    <w:rsid w:val="002C32A6"/>
    <w:rsid w:val="002E4E6C"/>
    <w:rsid w:val="002F69E5"/>
    <w:rsid w:val="003336AE"/>
    <w:rsid w:val="00360021"/>
    <w:rsid w:val="00361B62"/>
    <w:rsid w:val="00385902"/>
    <w:rsid w:val="003D02CC"/>
    <w:rsid w:val="00404245"/>
    <w:rsid w:val="00410FE5"/>
    <w:rsid w:val="004135BD"/>
    <w:rsid w:val="00434A7E"/>
    <w:rsid w:val="00462AFC"/>
    <w:rsid w:val="00474AA5"/>
    <w:rsid w:val="004A4BEC"/>
    <w:rsid w:val="004B258A"/>
    <w:rsid w:val="004F2B19"/>
    <w:rsid w:val="00534057"/>
    <w:rsid w:val="005C3016"/>
    <w:rsid w:val="006024A5"/>
    <w:rsid w:val="00611CDA"/>
    <w:rsid w:val="00612561"/>
    <w:rsid w:val="00615071"/>
    <w:rsid w:val="00616666"/>
    <w:rsid w:val="006175B3"/>
    <w:rsid w:val="006C0E7D"/>
    <w:rsid w:val="00735A4C"/>
    <w:rsid w:val="00773110"/>
    <w:rsid w:val="007944FD"/>
    <w:rsid w:val="007B0026"/>
    <w:rsid w:val="007F5272"/>
    <w:rsid w:val="00840796"/>
    <w:rsid w:val="008A0C76"/>
    <w:rsid w:val="008D0A18"/>
    <w:rsid w:val="008F3C8B"/>
    <w:rsid w:val="009375C3"/>
    <w:rsid w:val="009562B0"/>
    <w:rsid w:val="009721CF"/>
    <w:rsid w:val="009A044F"/>
    <w:rsid w:val="009A401E"/>
    <w:rsid w:val="009A4836"/>
    <w:rsid w:val="009B6D98"/>
    <w:rsid w:val="009F2FCD"/>
    <w:rsid w:val="00A85BC1"/>
    <w:rsid w:val="00AB0673"/>
    <w:rsid w:val="00AE63A9"/>
    <w:rsid w:val="00B64DE3"/>
    <w:rsid w:val="00BA26C1"/>
    <w:rsid w:val="00BD0C53"/>
    <w:rsid w:val="00BE6CF9"/>
    <w:rsid w:val="00BF57D1"/>
    <w:rsid w:val="00C26A54"/>
    <w:rsid w:val="00C43E84"/>
    <w:rsid w:val="00C66F63"/>
    <w:rsid w:val="00C86434"/>
    <w:rsid w:val="00C95B56"/>
    <w:rsid w:val="00CA7C90"/>
    <w:rsid w:val="00CC6E5B"/>
    <w:rsid w:val="00D023B9"/>
    <w:rsid w:val="00D2275A"/>
    <w:rsid w:val="00D30FBF"/>
    <w:rsid w:val="00D31C55"/>
    <w:rsid w:val="00D97EDE"/>
    <w:rsid w:val="00DD2A60"/>
    <w:rsid w:val="00DE6FF3"/>
    <w:rsid w:val="00DF4737"/>
    <w:rsid w:val="00E278EF"/>
    <w:rsid w:val="00E37B02"/>
    <w:rsid w:val="00E44466"/>
    <w:rsid w:val="00E978C7"/>
    <w:rsid w:val="00EB6FF5"/>
    <w:rsid w:val="00EB70D0"/>
    <w:rsid w:val="00EE436E"/>
    <w:rsid w:val="00EF73F4"/>
    <w:rsid w:val="00EF7F5E"/>
    <w:rsid w:val="00F241B4"/>
    <w:rsid w:val="00F2761E"/>
    <w:rsid w:val="00F3652C"/>
    <w:rsid w:val="00F566E8"/>
    <w:rsid w:val="00F915E0"/>
    <w:rsid w:val="00FA585E"/>
    <w:rsid w:val="00FF1F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FF5"/>
    <w:rPr>
      <w:rFonts w:ascii="Times New Roman" w:eastAsia="Times New Roman" w:hAnsi="Times New Roman"/>
    </w:rPr>
  </w:style>
  <w:style w:type="paragraph" w:styleId="berschrift1">
    <w:name w:val="heading 1"/>
    <w:basedOn w:val="Standard"/>
    <w:next w:val="Standard"/>
    <w:link w:val="berschrift1Zchn"/>
    <w:uiPriority w:val="9"/>
    <w:qFormat/>
    <w:rsid w:val="00245289"/>
    <w:pPr>
      <w:keepNext/>
      <w:spacing w:after="240" w:line="360" w:lineRule="auto"/>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EB6FF5"/>
    <w:pPr>
      <w:spacing w:line="240" w:lineRule="exact"/>
    </w:pPr>
    <w:rPr>
      <w:sz w:val="22"/>
    </w:rPr>
  </w:style>
  <w:style w:type="character" w:customStyle="1" w:styleId="Textkrper3Zchn">
    <w:name w:val="Textkörper 3 Zchn"/>
    <w:basedOn w:val="Absatz-Standardschriftart"/>
    <w:link w:val="Textkrper3"/>
    <w:semiHidden/>
    <w:rsid w:val="00EB6FF5"/>
    <w:rPr>
      <w:rFonts w:ascii="Times New Roman" w:eastAsia="Times New Roman" w:hAnsi="Times New Roman" w:cs="Times New Roman"/>
      <w:szCs w:val="20"/>
      <w:lang w:eastAsia="de-DE"/>
    </w:rPr>
  </w:style>
  <w:style w:type="paragraph" w:styleId="Kopfzeile">
    <w:name w:val="header"/>
    <w:basedOn w:val="Standard"/>
    <w:link w:val="KopfzeileZchn"/>
    <w:uiPriority w:val="99"/>
    <w:unhideWhenUsed/>
    <w:rsid w:val="009562B0"/>
    <w:pPr>
      <w:tabs>
        <w:tab w:val="center" w:pos="4536"/>
        <w:tab w:val="right" w:pos="9072"/>
      </w:tabs>
    </w:pPr>
  </w:style>
  <w:style w:type="character" w:customStyle="1" w:styleId="KopfzeileZchn">
    <w:name w:val="Kopfzeile Zchn"/>
    <w:basedOn w:val="Absatz-Standardschriftart"/>
    <w:link w:val="Kopfzeile"/>
    <w:uiPriority w:val="99"/>
    <w:rsid w:val="009562B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562B0"/>
    <w:pPr>
      <w:tabs>
        <w:tab w:val="center" w:pos="4536"/>
        <w:tab w:val="right" w:pos="9072"/>
      </w:tabs>
    </w:pPr>
  </w:style>
  <w:style w:type="character" w:customStyle="1" w:styleId="FuzeileZchn">
    <w:name w:val="Fußzeile Zchn"/>
    <w:basedOn w:val="Absatz-Standardschriftart"/>
    <w:link w:val="Fuzeile"/>
    <w:uiPriority w:val="99"/>
    <w:rsid w:val="009562B0"/>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9562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2B0"/>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245289"/>
    <w:rPr>
      <w:rFonts w:ascii="Arial" w:eastAsia="Times New Roman" w:hAnsi="Arial" w:cs="Times New Roman"/>
      <w:b/>
      <w:sz w:val="36"/>
      <w:szCs w:val="20"/>
      <w:lang w:eastAsia="de-DE"/>
    </w:rPr>
  </w:style>
  <w:style w:type="paragraph" w:customStyle="1" w:styleId="Seitennummer">
    <w:name w:val="Seitennummer"/>
    <w:basedOn w:val="Fuzeile"/>
    <w:qFormat/>
    <w:rsid w:val="00245289"/>
    <w:pPr>
      <w:tabs>
        <w:tab w:val="clear" w:pos="4536"/>
        <w:tab w:val="clear" w:pos="9072"/>
      </w:tabs>
      <w:jc w:val="center"/>
    </w:pPr>
    <w:rPr>
      <w:rFonts w:ascii="Arial" w:hAnsi="Arial"/>
      <w:sz w:val="22"/>
    </w:rPr>
  </w:style>
  <w:style w:type="character" w:customStyle="1" w:styleId="Version">
    <w:name w:val="Version"/>
    <w:basedOn w:val="Absatz-Standardschriftart"/>
    <w:rsid w:val="00245289"/>
    <w:rPr>
      <w:rFonts w:cs="Times New Roman"/>
      <w:sz w:val="16"/>
      <w:lang w:val="en-US"/>
    </w:rPr>
  </w:style>
  <w:style w:type="paragraph" w:styleId="Listenabsatz">
    <w:name w:val="List Paragraph"/>
    <w:basedOn w:val="Standard"/>
    <w:uiPriority w:val="34"/>
    <w:qFormat/>
    <w:rsid w:val="000A08FF"/>
    <w:pPr>
      <w:ind w:left="720"/>
      <w:contextualSpacing/>
    </w:pPr>
  </w:style>
</w:styles>
</file>

<file path=word/webSettings.xml><?xml version="1.0" encoding="utf-8"?>
<w:webSettings xmlns:r="http://schemas.openxmlformats.org/officeDocument/2006/relationships" xmlns:w="http://schemas.openxmlformats.org/wordprocessingml/2006/main">
  <w:divs>
    <w:div w:id="11896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35E6-5BC1-4041-AB4A-6A3815CC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THC Pharm GmbH</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Brons</dc:creator>
  <cp:keywords/>
  <dc:description/>
  <cp:lastModifiedBy>Lenovo User</cp:lastModifiedBy>
  <cp:revision>2</cp:revision>
  <cp:lastPrinted>2010-11-26T13:43:00Z</cp:lastPrinted>
  <dcterms:created xsi:type="dcterms:W3CDTF">2010-12-07T14:46:00Z</dcterms:created>
  <dcterms:modified xsi:type="dcterms:W3CDTF">2010-12-07T14:46:00Z</dcterms:modified>
</cp:coreProperties>
</file>